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4B81" w:rsidRDefault="000C4B81">
      <w:pPr>
        <w:pStyle w:val="Titre4"/>
      </w:pPr>
      <w:r>
        <w:t>Amine TARAZI</w:t>
      </w:r>
    </w:p>
    <w:p w:rsidR="000C4B81" w:rsidRPr="0036369A" w:rsidRDefault="000C4B81" w:rsidP="000633C8">
      <w:pPr>
        <w:ind w:right="1871"/>
        <w:outlineLvl w:val="0"/>
      </w:pPr>
      <w:r>
        <w:t>Né à New York (U.S.A)</w:t>
      </w:r>
    </w:p>
    <w:p w:rsidR="000C4B81" w:rsidRDefault="00717712">
      <w:pPr>
        <w:ind w:right="-4049"/>
        <w:outlineLvl w:val="0"/>
        <w:rPr>
          <w:i/>
        </w:rPr>
      </w:pPr>
      <w:r>
        <w:rPr>
          <w:i/>
        </w:rPr>
        <w:t xml:space="preserve">Professeur des Universités (PREX) </w:t>
      </w:r>
    </w:p>
    <w:p w:rsidR="00D37CE0" w:rsidRPr="00D37CE0" w:rsidRDefault="00D37CE0" w:rsidP="00D37CE0">
      <w:pPr>
        <w:ind w:right="-4049"/>
      </w:pPr>
      <w:r>
        <w:t>Membre Senior IUF</w:t>
      </w:r>
    </w:p>
    <w:p w:rsidR="000C4B81" w:rsidRDefault="00650626">
      <w:pPr>
        <w:ind w:right="-4049"/>
        <w:rPr>
          <w:b/>
          <w:i/>
        </w:rPr>
      </w:pPr>
      <w:r>
        <w:rPr>
          <w:b/>
          <w:i/>
        </w:rPr>
        <w:t>Spécialisé en Banque et Finance</w:t>
      </w:r>
    </w:p>
    <w:p w:rsidR="000C4B81" w:rsidRDefault="000C4B81">
      <w:pPr>
        <w:spacing w:line="360" w:lineRule="atLeast"/>
        <w:ind w:right="2191"/>
      </w:pPr>
      <w:r>
        <w:t>21, rue Henri Barbusse</w:t>
      </w:r>
    </w:p>
    <w:p w:rsidR="000C3F61" w:rsidRDefault="000C4B81" w:rsidP="000C3F61">
      <w:pPr>
        <w:ind w:right="2108"/>
      </w:pPr>
      <w:r>
        <w:t>87 000   Limoges</w:t>
      </w:r>
    </w:p>
    <w:p w:rsidR="009E442B" w:rsidRDefault="00906BF3" w:rsidP="000C3F61">
      <w:pPr>
        <w:ind w:right="2108"/>
        <w:rPr>
          <w:position w:val="6"/>
          <w:sz w:val="20"/>
        </w:rPr>
      </w:pPr>
      <w:r>
        <w:rPr>
          <w:noProof/>
          <w:sz w:val="20"/>
        </w:rPr>
        <w:drawing>
          <wp:inline distT="0" distB="0" distL="0" distR="0">
            <wp:extent cx="200025" cy="18097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0025" cy="180975"/>
                    </a:xfrm>
                    <a:prstGeom prst="rect">
                      <a:avLst/>
                    </a:prstGeom>
                    <a:noFill/>
                    <a:ln w="9525">
                      <a:noFill/>
                      <a:miter lim="800000"/>
                      <a:headEnd/>
                      <a:tailEnd/>
                    </a:ln>
                  </pic:spPr>
                </pic:pic>
              </a:graphicData>
            </a:graphic>
          </wp:inline>
        </w:drawing>
      </w:r>
      <w:r>
        <w:rPr>
          <w:b/>
          <w:position w:val="6"/>
          <w:sz w:val="20"/>
        </w:rPr>
        <w:t xml:space="preserve">: </w:t>
      </w:r>
      <w:r>
        <w:rPr>
          <w:position w:val="6"/>
          <w:sz w:val="20"/>
        </w:rPr>
        <w:t>(33) 555439751</w:t>
      </w:r>
    </w:p>
    <w:p w:rsidR="009E442B" w:rsidRDefault="00000000" w:rsidP="009E442B">
      <w:pPr>
        <w:ind w:right="-90"/>
        <w:rPr>
          <w:position w:val="6"/>
          <w:sz w:val="20"/>
        </w:rPr>
      </w:pPr>
      <w:hyperlink r:id="rId9" w:history="1">
        <w:r>
          <w:rPr>
            <w:rStyle w:val="Lienhypertexte"/>
            <w:position w:val="6"/>
            <w:sz w:val="20"/>
          </w:rPr>
          <w:t>www.unilim.fr/lape/staff/full-time/Amine-Tarazi</w:t>
        </w:r>
      </w:hyperlink>
    </w:p>
    <w:p w:rsidR="000C4B81" w:rsidRDefault="000C4B81">
      <w:pPr>
        <w:ind w:right="2411"/>
        <w:rPr>
          <w:position w:val="6"/>
          <w:sz w:val="20"/>
        </w:rPr>
      </w:pPr>
    </w:p>
    <w:p w:rsidR="000C4B81" w:rsidRDefault="000C4B81">
      <w:pPr>
        <w:ind w:right="2411"/>
        <w:rPr>
          <w:position w:val="6"/>
          <w:sz w:val="20"/>
        </w:rPr>
      </w:pPr>
    </w:p>
    <w:p w:rsidR="000C4B81" w:rsidRDefault="000C4B81">
      <w:pPr>
        <w:ind w:right="2411"/>
        <w:rPr>
          <w:position w:val="6"/>
          <w:sz w:val="20"/>
        </w:rPr>
      </w:pPr>
    </w:p>
    <w:p w:rsidR="000C4B81" w:rsidRPr="00513522" w:rsidRDefault="001B3151">
      <w:pPr>
        <w:ind w:left="-160" w:right="-112"/>
        <w:jc w:val="right"/>
        <w:rPr>
          <w:i/>
          <w:u w:val="single"/>
        </w:rPr>
      </w:pPr>
      <w:r>
        <w:rPr>
          <w:i/>
          <w:u w:val="single"/>
        </w:rPr>
        <w:t>Version juillet 2026</w:t>
      </w:r>
    </w:p>
    <w:p w:rsidR="000C4B81" w:rsidRDefault="000C4B81">
      <w:pPr>
        <w:ind w:left="-100" w:right="-112"/>
        <w:jc w:val="right"/>
        <w:outlineLvl w:val="0"/>
      </w:pPr>
      <w:r>
        <w:rPr>
          <w:b/>
        </w:rPr>
        <w:t>F</w:t>
      </w:r>
      <w:r>
        <w:t xml:space="preserve">aculté de </w:t>
      </w:r>
      <w:r>
        <w:rPr>
          <w:b/>
        </w:rPr>
        <w:t>D</w:t>
      </w:r>
      <w:r>
        <w:t xml:space="preserve">roit et des </w:t>
      </w:r>
      <w:r>
        <w:rPr>
          <w:b/>
        </w:rPr>
        <w:t>S</w:t>
      </w:r>
      <w:r>
        <w:t xml:space="preserve">ciences </w:t>
      </w:r>
      <w:r>
        <w:rPr>
          <w:b/>
        </w:rPr>
        <w:t>É</w:t>
      </w:r>
      <w:r>
        <w:t>conomiques</w:t>
      </w:r>
    </w:p>
    <w:p w:rsidR="000C4B81" w:rsidRDefault="000C4B81">
      <w:pPr>
        <w:ind w:right="-112"/>
        <w:jc w:val="right"/>
      </w:pPr>
      <w:r>
        <w:rPr>
          <w:b/>
        </w:rPr>
        <w:t>U</w:t>
      </w:r>
      <w:r>
        <w:t xml:space="preserve">niversité de </w:t>
      </w:r>
      <w:r>
        <w:rPr>
          <w:b/>
        </w:rPr>
        <w:t>L</w:t>
      </w:r>
      <w:r>
        <w:t>imoges</w:t>
      </w:r>
    </w:p>
    <w:p w:rsidR="000C4B81" w:rsidRDefault="00167311">
      <w:pPr>
        <w:ind w:left="-160" w:right="-112"/>
        <w:jc w:val="right"/>
      </w:pPr>
      <w:r>
        <w:t>5 rue Félix Éboué</w:t>
      </w:r>
    </w:p>
    <w:p w:rsidR="000C4B81" w:rsidRDefault="000C4B81">
      <w:pPr>
        <w:ind w:left="-160" w:right="-112"/>
        <w:jc w:val="right"/>
      </w:pPr>
      <w:r>
        <w:t>87 000 Limoges</w:t>
      </w:r>
    </w:p>
    <w:p w:rsidR="000C4B81" w:rsidRDefault="00906BF3">
      <w:pPr>
        <w:ind w:left="-160" w:right="-112"/>
        <w:jc w:val="right"/>
        <w:rPr>
          <w:position w:val="6"/>
          <w:sz w:val="20"/>
        </w:rPr>
      </w:pPr>
      <w:r>
        <w:rPr>
          <w:noProof/>
          <w:sz w:val="20"/>
        </w:rPr>
        <w:drawing>
          <wp:inline distT="0" distB="0" distL="0" distR="0">
            <wp:extent cx="200025" cy="180975"/>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00025" cy="180975"/>
                    </a:xfrm>
                    <a:prstGeom prst="rect">
                      <a:avLst/>
                    </a:prstGeom>
                    <a:noFill/>
                    <a:ln w="9525">
                      <a:noFill/>
                      <a:miter lim="800000"/>
                      <a:headEnd/>
                      <a:tailEnd/>
                    </a:ln>
                  </pic:spPr>
                </pic:pic>
              </a:graphicData>
            </a:graphic>
          </wp:inline>
        </w:drawing>
      </w:r>
      <w:r>
        <w:rPr>
          <w:b/>
          <w:position w:val="6"/>
          <w:sz w:val="20"/>
        </w:rPr>
        <w:t xml:space="preserve"> :</w:t>
      </w:r>
      <w:r>
        <w:rPr>
          <w:position w:val="6"/>
          <w:sz w:val="20"/>
        </w:rPr>
        <w:t xml:space="preserve"> (33) 5 55 14 92 36</w:t>
      </w:r>
    </w:p>
    <w:p w:rsidR="000C4B81" w:rsidRDefault="000C4B81">
      <w:pPr>
        <w:ind w:left="-160" w:right="-112"/>
        <w:jc w:val="right"/>
        <w:rPr>
          <w:position w:val="6"/>
          <w:sz w:val="20"/>
        </w:rPr>
      </w:pPr>
      <w:r>
        <w:rPr>
          <w:position w:val="6"/>
          <w:sz w:val="20"/>
        </w:rPr>
        <w:t>Fax : (33) 5 55 14 92 11</w:t>
      </w:r>
    </w:p>
    <w:p w:rsidR="000C4B81" w:rsidRPr="009E442B" w:rsidRDefault="009E442B" w:rsidP="009E442B">
      <w:pPr>
        <w:ind w:left="-160" w:right="-112"/>
        <w:jc w:val="right"/>
        <w:rPr>
          <w:position w:val="6"/>
          <w:sz w:val="20"/>
        </w:rPr>
        <w:sectPr w:rsidR="000C4B81" w:rsidRPr="009E442B">
          <w:footerReference w:type="even" r:id="rId11"/>
          <w:footerReference w:type="default" r:id="rId12"/>
          <w:pgSz w:w="11880" w:h="16820"/>
          <w:pgMar w:top="851" w:right="1134" w:bottom="567" w:left="1134" w:header="1077" w:footer="1077" w:gutter="0"/>
          <w:cols w:num="2" w:space="720"/>
        </w:sectPr>
      </w:pPr>
      <w:r>
        <w:rPr>
          <w:position w:val="6"/>
          <w:sz w:val="20"/>
        </w:rPr>
        <w:t xml:space="preserve">Email : </w:t>
      </w:r>
      <w:hyperlink r:id="rId13" w:history="1">
        <w:r>
          <w:rPr>
            <w:rStyle w:val="Lienhypertexte"/>
            <w:b/>
            <w:bCs/>
            <w:position w:val="6"/>
            <w:sz w:val="20"/>
          </w:rPr>
          <w:t>tarazi@unilim.fr</w:t>
        </w:r>
      </w:hyperlink>
    </w:p>
    <w:p w:rsidR="000C4B81" w:rsidRDefault="000C4B81"/>
    <w:p w:rsidR="00D331CF" w:rsidRDefault="00D331CF"/>
    <w:p w:rsidR="00D331CF" w:rsidRDefault="00D331CF"/>
    <w:p w:rsidR="000C4B81" w:rsidRDefault="000C4B81">
      <w:pPr>
        <w:pBdr>
          <w:top w:val="single" w:sz="6" w:space="1" w:color="auto"/>
          <w:left w:val="single" w:sz="6" w:space="1" w:color="auto"/>
          <w:bottom w:val="single" w:sz="6" w:space="1" w:color="auto"/>
          <w:right w:val="single" w:sz="6" w:space="1" w:color="auto"/>
        </w:pBdr>
        <w:shd w:val="pct10" w:color="auto" w:fill="auto"/>
        <w:ind w:right="38"/>
        <w:jc w:val="center"/>
        <w:outlineLvl w:val="0"/>
        <w:rPr>
          <w:b/>
          <w:sz w:val="36"/>
        </w:rPr>
      </w:pPr>
      <w:r>
        <w:rPr>
          <w:b/>
          <w:sz w:val="36"/>
        </w:rPr>
        <w:tab/>
        <w:t>Titres Universitaires</w:t>
      </w:r>
    </w:p>
    <w:p w:rsidR="000C4B81" w:rsidRDefault="000C4B81">
      <w:pPr>
        <w:tabs>
          <w:tab w:val="right" w:pos="9639"/>
        </w:tabs>
        <w:ind w:left="900" w:hanging="5"/>
      </w:pPr>
    </w:p>
    <w:p w:rsidR="00170F16" w:rsidRPr="00170F16" w:rsidRDefault="00170F16" w:rsidP="00170F16">
      <w:pPr>
        <w:ind w:left="640" w:right="-569" w:hanging="300"/>
      </w:pPr>
      <w:r>
        <w:t>•</w:t>
      </w:r>
      <w:r>
        <w:tab/>
        <w:t>D.E.A. en analyse de l'Économie monétaire, Université de Limoges</w:t>
      </w:r>
      <w:r>
        <w:tab/>
      </w:r>
      <w:r>
        <w:tab/>
        <w:t>nov. 1988</w:t>
      </w:r>
    </w:p>
    <w:p w:rsidR="00170F16" w:rsidRPr="00A4054F" w:rsidRDefault="00170F16" w:rsidP="00170F16">
      <w:pPr>
        <w:tabs>
          <w:tab w:val="right" w:pos="9498"/>
        </w:tabs>
        <w:ind w:left="640" w:right="-569" w:hanging="300"/>
        <w:rPr>
          <w:lang w:val="en-US"/>
        </w:rPr>
      </w:pPr>
      <w:r>
        <w:rPr>
          <w:lang w:val="en-US"/>
        </w:rPr>
        <w:t>•</w:t>
      </w:r>
      <w:r>
        <w:rPr>
          <w:lang w:val="en-US"/>
        </w:rPr>
        <w:tab/>
        <w:t xml:space="preserve">MASTER in Money, Banking and Finance, </w:t>
      </w:r>
      <w:r>
        <w:rPr>
          <w:lang w:val="en-GB"/>
        </w:rPr>
        <w:t xml:space="preserve">University of Birmingham (UK)  </w:t>
      </w:r>
      <w:r>
        <w:rPr>
          <w:lang w:val="en-GB"/>
        </w:rPr>
        <w:tab/>
        <w:t>déc. 1988</w:t>
      </w:r>
    </w:p>
    <w:p w:rsidR="00170F16" w:rsidRPr="00170F16" w:rsidRDefault="00170F16" w:rsidP="00170F16">
      <w:pPr>
        <w:tabs>
          <w:tab w:val="right" w:pos="9498"/>
        </w:tabs>
        <w:ind w:left="640" w:right="-569" w:hanging="300"/>
      </w:pPr>
      <w:r>
        <w:t>•</w:t>
      </w:r>
      <w:r>
        <w:tab/>
        <w:t>DOCTORAT es Sciences Économiques, Université de Limoges</w:t>
      </w:r>
      <w:r>
        <w:tab/>
        <w:t>février 1992</w:t>
      </w:r>
    </w:p>
    <w:p w:rsidR="00170F16" w:rsidRPr="00170F16" w:rsidRDefault="00170F16" w:rsidP="00170F16">
      <w:pPr>
        <w:tabs>
          <w:tab w:val="right" w:pos="9498"/>
        </w:tabs>
        <w:ind w:left="640" w:right="-569" w:hanging="300"/>
      </w:pPr>
      <w:r>
        <w:t>•</w:t>
      </w:r>
      <w:r>
        <w:tab/>
        <w:t xml:space="preserve">HABILITATION à diriger des recherches, Université de Limoges </w:t>
      </w:r>
      <w:r>
        <w:tab/>
        <w:t>septembre 1993</w:t>
      </w:r>
    </w:p>
    <w:p w:rsidR="00170F16" w:rsidRPr="00170F16" w:rsidRDefault="00170F16" w:rsidP="00170F16">
      <w:pPr>
        <w:tabs>
          <w:tab w:val="right" w:pos="9498"/>
        </w:tabs>
        <w:ind w:left="640" w:right="-569" w:hanging="300"/>
      </w:pPr>
      <w:r>
        <w:t>•</w:t>
      </w:r>
      <w:r>
        <w:tab/>
        <w:t>AGREGATION de l'Enseignement Supérieur, Sciences Économiques</w:t>
      </w:r>
      <w:r>
        <w:tab/>
        <w:t xml:space="preserve"> juillet 1994</w:t>
      </w:r>
    </w:p>
    <w:p w:rsidR="000C4B81" w:rsidRPr="00C97B67" w:rsidRDefault="000C4B81" w:rsidP="00C97B67">
      <w:pPr>
        <w:tabs>
          <w:tab w:val="right" w:pos="9060"/>
        </w:tabs>
        <w:ind w:left="700" w:hanging="360"/>
      </w:pPr>
      <w:r>
        <w:tab/>
        <w:t xml:space="preserve"> </w:t>
      </w:r>
    </w:p>
    <w:p w:rsidR="000C4B81" w:rsidRDefault="000C4B81">
      <w:pPr>
        <w:pBdr>
          <w:top w:val="single" w:sz="6" w:space="1" w:color="auto"/>
          <w:left w:val="single" w:sz="6" w:space="1" w:color="auto"/>
          <w:bottom w:val="single" w:sz="6" w:space="1" w:color="auto"/>
          <w:right w:val="single" w:sz="6" w:space="1" w:color="auto"/>
        </w:pBdr>
        <w:shd w:val="pct10" w:color="auto" w:fill="auto"/>
        <w:ind w:right="18"/>
        <w:jc w:val="center"/>
        <w:outlineLvl w:val="0"/>
        <w:rPr>
          <w:b/>
          <w:sz w:val="36"/>
        </w:rPr>
      </w:pPr>
      <w:r>
        <w:rPr>
          <w:b/>
          <w:sz w:val="36"/>
        </w:rPr>
        <w:t xml:space="preserve">Situations Professionnelles et Mobilités </w:t>
      </w:r>
    </w:p>
    <w:p w:rsidR="000C4B81" w:rsidRDefault="000C4B81">
      <w:pPr>
        <w:pBdr>
          <w:between w:val="single" w:sz="6" w:space="0" w:color="auto"/>
        </w:pBdr>
        <w:jc w:val="center"/>
      </w:pPr>
    </w:p>
    <w:p w:rsidR="000C4B81" w:rsidRDefault="000C4B81">
      <w:pPr>
        <w:pBdr>
          <w:between w:val="single" w:sz="6" w:space="0" w:color="auto"/>
        </w:pBdr>
        <w:jc w:val="center"/>
      </w:pPr>
      <w:r>
        <w:t>à l'Université de Limoges et à l'Institut Universitaire de France (IUF)</w:t>
      </w:r>
    </w:p>
    <w:p w:rsidR="000C4B81" w:rsidRDefault="000C4B81">
      <w:pPr>
        <w:pBdr>
          <w:between w:val="single" w:sz="6" w:space="0" w:color="auto"/>
        </w:pBdr>
        <w:jc w:val="center"/>
      </w:pPr>
    </w:p>
    <w:p w:rsidR="000C4B81" w:rsidRDefault="000C4B81">
      <w:pPr>
        <w:tabs>
          <w:tab w:val="left" w:pos="3400"/>
        </w:tabs>
        <w:ind w:left="700" w:hanging="360"/>
      </w:pPr>
      <w:r>
        <w:t>•</w:t>
      </w:r>
      <w:r>
        <w:tab/>
        <w:t>Oct. 1990 - Sept. 1992</w:t>
      </w:r>
      <w:r>
        <w:tab/>
        <w:t>Attaché temporaire d'enseignement et de recherche</w:t>
      </w:r>
    </w:p>
    <w:p w:rsidR="000C4B81" w:rsidRDefault="000C4B81">
      <w:pPr>
        <w:tabs>
          <w:tab w:val="left" w:pos="3400"/>
        </w:tabs>
        <w:ind w:left="700" w:hanging="360"/>
      </w:pPr>
      <w:r>
        <w:t>•</w:t>
      </w:r>
      <w:r>
        <w:tab/>
        <w:t>Oct. 1992 - Août 1994</w:t>
      </w:r>
      <w:r>
        <w:tab/>
        <w:t>Maître de Conférences</w:t>
      </w:r>
    </w:p>
    <w:p w:rsidR="000C4B81" w:rsidRDefault="000C4B81" w:rsidP="007F4597">
      <w:pPr>
        <w:tabs>
          <w:tab w:val="left" w:pos="3400"/>
        </w:tabs>
        <w:ind w:left="709" w:hanging="360"/>
      </w:pPr>
      <w:r>
        <w:t>•</w:t>
      </w:r>
      <w:r>
        <w:tab/>
        <w:t>Depuis Septembre 1994</w:t>
      </w:r>
      <w:r>
        <w:tab/>
        <w:t>Professeur des Universités (PR1 de 1999 à 2008 et Professeur de Classe Exceptionnelle depuis 2009, bénéficiaire de la PEDR de 1998 à 2010, de la PES de 2010 à 2014 et de la PEDR de 2014 à 2022 puis Prime Ripec 3, Commandeur dans l'ordre des Palmes Académiques)</w:t>
      </w:r>
    </w:p>
    <w:p w:rsidR="002048E6" w:rsidRDefault="00600D0B" w:rsidP="007F4597">
      <w:pPr>
        <w:tabs>
          <w:tab w:val="left" w:pos="3400"/>
        </w:tabs>
        <w:ind w:left="709" w:hanging="360"/>
      </w:pPr>
      <w:r>
        <w:t xml:space="preserve">• </w:t>
      </w:r>
      <w:r>
        <w:tab/>
        <w:t xml:space="preserve">Membre Senior (Chaire Fondamentale), Institut Universitaire de France, </w:t>
      </w:r>
    </w:p>
    <w:p w:rsidR="00600D0B" w:rsidRDefault="002048E6" w:rsidP="007F4597">
      <w:pPr>
        <w:tabs>
          <w:tab w:val="left" w:pos="3400"/>
        </w:tabs>
        <w:ind w:left="709" w:hanging="360"/>
      </w:pPr>
      <w:r>
        <w:tab/>
        <w:t>promotions 2017 et 2025</w:t>
      </w:r>
    </w:p>
    <w:p w:rsidR="000C4B81" w:rsidRDefault="000C4B81">
      <w:pPr>
        <w:pBdr>
          <w:between w:val="single" w:sz="6" w:space="0" w:color="auto"/>
        </w:pBdr>
        <w:jc w:val="center"/>
      </w:pPr>
    </w:p>
    <w:p w:rsidR="000C4B81" w:rsidRDefault="000C4B81">
      <w:pPr>
        <w:pBdr>
          <w:between w:val="single" w:sz="6" w:space="0" w:color="auto"/>
        </w:pBdr>
        <w:jc w:val="center"/>
      </w:pPr>
      <w:r>
        <w:t>au sein d’autres établissements étrangers et français en tant que Professeur ou chercheur invité</w:t>
      </w:r>
    </w:p>
    <w:p w:rsidR="000C4B81" w:rsidRDefault="000C4B81">
      <w:pPr>
        <w:pBdr>
          <w:between w:val="single" w:sz="6" w:space="0" w:color="auto"/>
        </w:pBdr>
        <w:jc w:val="center"/>
      </w:pPr>
    </w:p>
    <w:p w:rsidR="00D34EEA" w:rsidRDefault="0095634D" w:rsidP="00D34EEA">
      <w:pPr>
        <w:tabs>
          <w:tab w:val="left" w:pos="1701"/>
          <w:tab w:val="left" w:pos="1927"/>
        </w:tabs>
      </w:pPr>
      <w:r>
        <w:t>-Université de Birmingham (RU), professeur invité 1997-2022</w:t>
      </w:r>
    </w:p>
    <w:p w:rsidR="00491C2E" w:rsidRDefault="00D34EEA" w:rsidP="0095634D">
      <w:pPr>
        <w:tabs>
          <w:tab w:val="left" w:pos="1701"/>
          <w:tab w:val="left" w:pos="1927"/>
        </w:tabs>
      </w:pPr>
      <w:r>
        <w:t>-New York University, Stern School of Business, Department of Economics, Visiting Scholar, séjours de recherche de 2 mois en 2006, de 2 mois en 2007 et de 1 mois par an depuis 2008</w:t>
      </w:r>
    </w:p>
    <w:p w:rsidR="00491C2E" w:rsidRDefault="00491C2E" w:rsidP="0095634D">
      <w:pPr>
        <w:tabs>
          <w:tab w:val="left" w:pos="1701"/>
          <w:tab w:val="left" w:pos="1927"/>
        </w:tabs>
      </w:pPr>
      <w:r>
        <w:t xml:space="preserve">- Monash University Malaysia, avril 2022, décembre 2022, 2023 et 2024, </w:t>
      </w:r>
    </w:p>
    <w:p w:rsidR="00491C2E" w:rsidRDefault="00491C2E" w:rsidP="0095634D">
      <w:pPr>
        <w:tabs>
          <w:tab w:val="left" w:pos="1701"/>
          <w:tab w:val="left" w:pos="1927"/>
        </w:tabs>
      </w:pPr>
      <w:r>
        <w:t>- SOAS London novembre 2023, septembre 2024 et juillet 2026.</w:t>
      </w:r>
    </w:p>
    <w:p w:rsidR="00491C2E" w:rsidRDefault="00491C2E" w:rsidP="0095634D">
      <w:pPr>
        <w:tabs>
          <w:tab w:val="left" w:pos="1701"/>
          <w:tab w:val="left" w:pos="1927"/>
        </w:tabs>
      </w:pPr>
      <w:r>
        <w:t>-</w:t>
      </w:r>
      <w:r>
        <w:rPr>
          <w:sz w:val="22"/>
        </w:rPr>
        <w:t xml:space="preserve"> </w:t>
      </w:r>
      <w:r>
        <w:t>International Islamic University &amp; INTI, Kuala Lumpur, Malaisie, nov./déc. 2019,</w:t>
      </w:r>
    </w:p>
    <w:p w:rsidR="001345BD" w:rsidRPr="00972C62" w:rsidRDefault="001345BD" w:rsidP="0095634D">
      <w:pPr>
        <w:tabs>
          <w:tab w:val="left" w:pos="1701"/>
          <w:tab w:val="left" w:pos="1927"/>
        </w:tabs>
        <w:rPr>
          <w:lang w:val="en-US"/>
        </w:rPr>
      </w:pPr>
      <w:r>
        <w:rPr>
          <w:lang w:val="en-US"/>
        </w:rPr>
        <w:t>-</w:t>
      </w:r>
      <w:r>
        <w:rPr>
          <w:sz w:val="22"/>
          <w:lang w:val="en-US"/>
        </w:rPr>
        <w:t xml:space="preserve"> </w:t>
      </w:r>
      <w:r>
        <w:rPr>
          <w:lang w:val="en-US"/>
        </w:rPr>
        <w:t>Chapman University, Orange, California, juillet 2019</w:t>
      </w:r>
    </w:p>
    <w:p w:rsidR="00E36096" w:rsidRPr="00E86B39" w:rsidRDefault="00166B76" w:rsidP="00E36096">
      <w:pPr>
        <w:jc w:val="both"/>
      </w:pPr>
      <w:r>
        <w:t>-World Class Professor, Ministère de la Recherche et de l'Enseignement Supérieur Indonésien, Juillet-Août 2018</w:t>
      </w:r>
    </w:p>
    <w:p w:rsidR="00620741" w:rsidRDefault="005C45A1" w:rsidP="0095634D">
      <w:pPr>
        <w:tabs>
          <w:tab w:val="left" w:pos="1701"/>
          <w:tab w:val="left" w:pos="1927"/>
        </w:tabs>
      </w:pPr>
      <w:r>
        <w:t>-Sebalas Maret University, Indonésie en 2010 et tous les ans depuis 2013</w:t>
      </w:r>
    </w:p>
    <w:p w:rsidR="005C45A1" w:rsidRPr="00C97B67" w:rsidRDefault="00170F16" w:rsidP="0095634D">
      <w:pPr>
        <w:tabs>
          <w:tab w:val="left" w:pos="1701"/>
          <w:tab w:val="left" w:pos="1927"/>
        </w:tabs>
        <w:rPr>
          <w:b/>
          <w:bCs/>
          <w:u w:val="single"/>
        </w:rPr>
      </w:pPr>
      <w:r>
        <w:t>-Chenchi University, Taipei, Taiwan en 2010 et 2011</w:t>
      </w:r>
    </w:p>
    <w:p w:rsidR="0095634D" w:rsidRPr="0095634D" w:rsidRDefault="0095634D" w:rsidP="0095634D">
      <w:pPr>
        <w:tabs>
          <w:tab w:val="left" w:pos="1701"/>
          <w:tab w:val="left" w:pos="1927"/>
        </w:tabs>
      </w:pPr>
      <w:r>
        <w:t xml:space="preserve">- Université des Philippines, professeur invité en 1999 et en 2006   </w:t>
      </w:r>
    </w:p>
    <w:p w:rsidR="00543563" w:rsidRDefault="0095634D" w:rsidP="0095634D">
      <w:pPr>
        <w:tabs>
          <w:tab w:val="left" w:pos="3400"/>
        </w:tabs>
      </w:pPr>
      <w:r>
        <w:t>- Université de la Réunion de 1999 à 2009, CNED Futuroscope de 1999 à 2006, Université de Toulouse 1 (IEP) de 2002 à 2018, Université de Paris1 de 2004 à 2006</w:t>
      </w:r>
    </w:p>
    <w:p w:rsidR="00D331CF" w:rsidRDefault="00D331CF" w:rsidP="0095634D">
      <w:pPr>
        <w:tabs>
          <w:tab w:val="left" w:pos="3400"/>
        </w:tabs>
      </w:pPr>
    </w:p>
    <w:p w:rsidR="00D34EEA" w:rsidRDefault="00D34EEA" w:rsidP="00D34EEA">
      <w:pPr>
        <w:pBdr>
          <w:between w:val="single" w:sz="6" w:space="0" w:color="auto"/>
        </w:pBdr>
        <w:jc w:val="center"/>
      </w:pPr>
    </w:p>
    <w:p w:rsidR="00D34EEA" w:rsidRDefault="00E478D1" w:rsidP="00D34EEA">
      <w:pPr>
        <w:pBdr>
          <w:between w:val="single" w:sz="6" w:space="0" w:color="auto"/>
        </w:pBdr>
        <w:jc w:val="center"/>
      </w:pPr>
      <w:r>
        <w:t>en tant que coordonateur ou conseiller scientifique</w:t>
      </w:r>
    </w:p>
    <w:p w:rsidR="00D34EEA" w:rsidRDefault="00D34EEA" w:rsidP="00D34EEA">
      <w:pPr>
        <w:pBdr>
          <w:between w:val="single" w:sz="6" w:space="0" w:color="auto"/>
        </w:pBdr>
        <w:jc w:val="center"/>
      </w:pPr>
    </w:p>
    <w:p w:rsidR="00464C18" w:rsidRDefault="00464C18" w:rsidP="0095634D">
      <w:pPr>
        <w:tabs>
          <w:tab w:val="left" w:pos="3400"/>
        </w:tabs>
      </w:pPr>
      <w:r>
        <w:t>- Coordonateur, responsable du Programme ASIALINK/B7-301/2005/105-139</w:t>
      </w:r>
      <w:r>
        <w:rPr>
          <w:i/>
        </w:rPr>
        <w:t>,</w:t>
      </w:r>
      <w:r>
        <w:t xml:space="preserve"> Commission Européenne, 2005-2008, (voir aussi rubrique contrats de recherche, page 13)</w:t>
      </w:r>
    </w:p>
    <w:p w:rsidR="00D34EEA" w:rsidRDefault="007F7502" w:rsidP="0095634D">
      <w:pPr>
        <w:tabs>
          <w:tab w:val="left" w:pos="3400"/>
        </w:tabs>
      </w:pPr>
      <w:r>
        <w:t>- Banque de France, Autorité de Contrôle Prudentiel (ex Commission Bancaire), Consultant : Conseiller scientifique rattaché au service des études bancaires, Pôle « modélisation des risques bancaires et stress testing », de 2009 à 2011</w:t>
      </w:r>
    </w:p>
    <w:p w:rsidR="003F54CB" w:rsidRPr="00E85503" w:rsidRDefault="003F54CB" w:rsidP="0095634D">
      <w:pPr>
        <w:tabs>
          <w:tab w:val="left" w:pos="3400"/>
        </w:tabs>
      </w:pPr>
      <w:r>
        <w:t>- Membre du comité scientifique de l'Autorité de Contrôle prudentiel et de Résolution (ACPR) depuis 2015</w:t>
      </w:r>
    </w:p>
    <w:p w:rsidR="004600E1" w:rsidRPr="00E85503" w:rsidRDefault="00600D0B" w:rsidP="004600E1">
      <w:pPr>
        <w:tabs>
          <w:tab w:val="left" w:pos="3400"/>
        </w:tabs>
      </w:pPr>
      <w:r>
        <w:t>- Coordonateur du programme OPTBANK, Commission Européenne, 2017-2021</w:t>
      </w:r>
    </w:p>
    <w:p w:rsidR="00170F16" w:rsidRDefault="00170F16" w:rsidP="007F7502">
      <w:pPr>
        <w:pBdr>
          <w:between w:val="single" w:sz="6" w:space="0" w:color="auto"/>
        </w:pBdr>
        <w:jc w:val="center"/>
      </w:pPr>
    </w:p>
    <w:p w:rsidR="007F7502" w:rsidRDefault="007F7502" w:rsidP="007F7502">
      <w:pPr>
        <w:pBdr>
          <w:between w:val="single" w:sz="6" w:space="0" w:color="auto"/>
        </w:pBdr>
        <w:jc w:val="center"/>
      </w:pPr>
      <w:r>
        <w:t>au titre de missions exploratoires ou courtes (liste non exhaustive)</w:t>
      </w:r>
    </w:p>
    <w:p w:rsidR="007F7502" w:rsidRDefault="007F7502" w:rsidP="007F7502">
      <w:pPr>
        <w:pBdr>
          <w:between w:val="single" w:sz="6" w:space="0" w:color="auto"/>
        </w:pBdr>
        <w:jc w:val="center"/>
      </w:pPr>
    </w:p>
    <w:p w:rsidR="0095634D" w:rsidRPr="0095634D" w:rsidRDefault="0095634D" w:rsidP="0095634D">
      <w:pPr>
        <w:jc w:val="both"/>
      </w:pPr>
      <w:r>
        <w:t>- USA, Réserve fédérale de New York (</w:t>
      </w:r>
      <w:r>
        <w:rPr>
          <w:bCs/>
        </w:rPr>
        <w:t>FRBNY</w:t>
      </w:r>
      <w:r>
        <w:t>), mai 2006, puis tous les ans</w:t>
      </w:r>
    </w:p>
    <w:p w:rsidR="0095634D" w:rsidRDefault="0095634D" w:rsidP="0095634D">
      <w:pPr>
        <w:jc w:val="both"/>
      </w:pPr>
      <w:r>
        <w:t>- USA, Federal Deposit Insurance Corporation (</w:t>
      </w:r>
      <w:r>
        <w:rPr>
          <w:bCs/>
        </w:rPr>
        <w:t>FDIC</w:t>
      </w:r>
      <w:r>
        <w:t>), Mai 2006</w:t>
      </w:r>
    </w:p>
    <w:p w:rsidR="00951A27" w:rsidRDefault="00951A27" w:rsidP="0095634D">
      <w:pPr>
        <w:jc w:val="both"/>
      </w:pPr>
      <w:r>
        <w:t>- USA, Rensselaer Polytechnic Institute, Troy, NY, avril 2008</w:t>
      </w:r>
    </w:p>
    <w:p w:rsidR="00E427A3" w:rsidRDefault="00E427A3" w:rsidP="0095634D">
      <w:pPr>
        <w:jc w:val="both"/>
      </w:pPr>
      <w:r>
        <w:t>- USA, Fordham University, avril 2012, puis tous les ans</w:t>
      </w:r>
    </w:p>
    <w:p w:rsidR="00F1243F" w:rsidRPr="00A84009" w:rsidRDefault="00F1243F" w:rsidP="0095634D">
      <w:pPr>
        <w:jc w:val="both"/>
      </w:pPr>
      <w:r>
        <w:t>- Kuala Lumpur, Malaisie, SCAC ambassade de France, décembre 2019 et avril 2022</w:t>
      </w:r>
    </w:p>
    <w:p w:rsidR="0095634D" w:rsidRPr="0095634D" w:rsidRDefault="0095634D" w:rsidP="0095634D">
      <w:pPr>
        <w:jc w:val="both"/>
      </w:pPr>
      <w:r>
        <w:t>- Taiwan, National Taiwan University et Chenchi University, Mai 2008 et Mai 2009</w:t>
      </w:r>
    </w:p>
    <w:p w:rsidR="0095634D" w:rsidRDefault="0095634D" w:rsidP="0095634D">
      <w:pPr>
        <w:jc w:val="both"/>
      </w:pPr>
      <w:r>
        <w:t>- Indonésie, Sebelas Maret University, Guadja Mada University, Central Bank (Financial Stability Department), SCAC ambassade de France, Deposit Insurance Corporation, février 2010, février 2013, avril 2014, mai 2015 ; Bandung Institute of Technology : mai 2016</w:t>
      </w:r>
    </w:p>
    <w:p w:rsidR="006F3331" w:rsidRDefault="006F3331" w:rsidP="0095634D">
      <w:pPr>
        <w:jc w:val="both"/>
      </w:pPr>
      <w:r>
        <w:t xml:space="preserve">- Italie, University of Rome 3, Avril 2022 </w:t>
      </w:r>
    </w:p>
    <w:p w:rsidR="007F7502" w:rsidRDefault="007F7502" w:rsidP="0095634D">
      <w:pPr>
        <w:jc w:val="both"/>
      </w:pPr>
      <w:r>
        <w:t>-Philippines, DRIC en septembre 1999 puis pour le compte de la Commission Européenne</w:t>
      </w:r>
    </w:p>
    <w:p w:rsidR="00337211" w:rsidRDefault="00337211" w:rsidP="00337211">
      <w:pPr>
        <w:rPr>
          <w:b/>
          <w:i/>
        </w:rPr>
      </w:pPr>
    </w:p>
    <w:p w:rsidR="00F75772" w:rsidRDefault="00F75772" w:rsidP="00337211">
      <w:pPr>
        <w:rPr>
          <w:b/>
          <w:i/>
        </w:rPr>
      </w:pPr>
    </w:p>
    <w:p w:rsidR="00584DC1" w:rsidRDefault="00584DC1" w:rsidP="00337211">
      <w:pPr>
        <w:rPr>
          <w:b/>
          <w:i/>
        </w:rPr>
      </w:pPr>
    </w:p>
    <w:p w:rsidR="00337211" w:rsidRDefault="00337211" w:rsidP="00337211">
      <w:pPr>
        <w:pBdr>
          <w:top w:val="single" w:sz="6" w:space="1" w:color="auto"/>
          <w:left w:val="single" w:sz="6" w:space="1" w:color="auto"/>
          <w:bottom w:val="single" w:sz="6" w:space="1" w:color="auto"/>
          <w:right w:val="single" w:sz="6" w:space="1" w:color="auto"/>
        </w:pBdr>
        <w:shd w:val="pct10" w:color="auto" w:fill="auto"/>
        <w:jc w:val="center"/>
        <w:outlineLvl w:val="0"/>
        <w:rPr>
          <w:b/>
          <w:sz w:val="36"/>
        </w:rPr>
      </w:pPr>
      <w:r>
        <w:rPr>
          <w:b/>
          <w:sz w:val="36"/>
        </w:rPr>
        <w:t>ACTIVITES D'ADMINISTRATION ET RESPONSABILITES COLLECTIVES</w:t>
      </w:r>
    </w:p>
    <w:p w:rsidR="00DA02C9" w:rsidRDefault="00DA02C9" w:rsidP="00337211">
      <w:pPr>
        <w:ind w:left="360" w:hanging="360"/>
      </w:pPr>
    </w:p>
    <w:p w:rsidR="00584DC1" w:rsidRDefault="00584DC1" w:rsidP="00337211">
      <w:pPr>
        <w:ind w:left="360" w:hanging="360"/>
      </w:pPr>
    </w:p>
    <w:p w:rsidR="00337211" w:rsidRDefault="00337211" w:rsidP="00337211">
      <w:pPr>
        <w:ind w:left="360" w:hanging="360"/>
      </w:pPr>
      <w:r>
        <w:t>•</w:t>
      </w:r>
      <w:r>
        <w:tab/>
        <w:t>Directeur du Laboratoire d’Analyse et de Prospective Économiques, LAPE, depuis 2006, EA(1088) devenue UR 13335.</w:t>
      </w:r>
    </w:p>
    <w:p w:rsidR="00337211" w:rsidRDefault="00337211" w:rsidP="00337211">
      <w:pPr>
        <w:ind w:left="360" w:hanging="360"/>
      </w:pPr>
      <w:r>
        <w:t>•</w:t>
      </w:r>
      <w:r>
        <w:tab/>
        <w:t>Vice-Président de l’Université de Limoges Chargé de la Recherche (VPCS), Président du Conseil Scientifique, Mars 2000/Février 2005</w:t>
      </w:r>
    </w:p>
    <w:p w:rsidR="001C6C15" w:rsidRDefault="001C6C15" w:rsidP="00337211">
      <w:pPr>
        <w:ind w:left="360" w:hanging="360"/>
      </w:pPr>
      <w:r>
        <w:t>•</w:t>
      </w:r>
      <w:r>
        <w:tab/>
        <w:t>Directeur-adjoint de l'Institut SHS (fédération de 9 laboratoires), 2013-2019</w:t>
      </w:r>
    </w:p>
    <w:p w:rsidR="00C97B67" w:rsidRDefault="00C97B67" w:rsidP="00337211">
      <w:pPr>
        <w:ind w:left="360" w:hanging="360"/>
      </w:pPr>
      <w:r>
        <w:t xml:space="preserve">• </w:t>
      </w:r>
      <w:r>
        <w:tab/>
        <w:t>Responsable de la mention de Master « Banque et Finance » 2008-2021</w:t>
      </w:r>
    </w:p>
    <w:p w:rsidR="00337211" w:rsidRDefault="00337211" w:rsidP="00337211">
      <w:pPr>
        <w:ind w:left="360" w:hanging="360"/>
      </w:pPr>
      <w:r>
        <w:t>•</w:t>
      </w:r>
      <w:r>
        <w:tab/>
        <w:t>Directeur du DEA "Analyse et Politique Économiques" n° 950122 créé en 1995, 1995-2004</w:t>
      </w:r>
    </w:p>
    <w:p w:rsidR="00337211" w:rsidRDefault="00337211" w:rsidP="00337211">
      <w:pPr>
        <w:ind w:left="360" w:hanging="360"/>
      </w:pPr>
      <w:r>
        <w:t>•</w:t>
      </w:r>
      <w:r>
        <w:tab/>
        <w:t>Directeur du Master 2 Recherche « Économie Appliquée », créé en 2004, 2004-2008</w:t>
      </w:r>
    </w:p>
    <w:p w:rsidR="00337211" w:rsidRPr="00773293" w:rsidRDefault="00337211" w:rsidP="00337211">
      <w:pPr>
        <w:ind w:left="360" w:hanging="360"/>
      </w:pPr>
      <w:r>
        <w:t>•</w:t>
      </w:r>
      <w:r>
        <w:tab/>
        <w:t>Co-Directeur du Master 2 Recherche et Professionnel « Banques : Risques et Marché », créé en 2004, depuis 2004, et directeur du Master+ in Banking and Finance depuis 2014</w:t>
      </w:r>
    </w:p>
    <w:p w:rsidR="00337211" w:rsidRDefault="00337211" w:rsidP="00337211">
      <w:pPr>
        <w:ind w:left="360" w:hanging="360"/>
      </w:pPr>
      <w:r>
        <w:t>•</w:t>
      </w:r>
      <w:r>
        <w:tab/>
        <w:t>Responsable de la formation doctorale de sciences économiques de l'Université de Limoges depuis 1994 et responsable du programme « PhD courses in Banking and Finance », créé en 2008</w:t>
      </w:r>
    </w:p>
    <w:p w:rsidR="00337211" w:rsidRDefault="00337211" w:rsidP="00337211">
      <w:pPr>
        <w:ind w:left="360" w:hanging="360"/>
      </w:pPr>
      <w:r>
        <w:t>•</w:t>
      </w:r>
      <w:r>
        <w:tab/>
        <w:t xml:space="preserve">Directeur du groupe de recherche « Économie bancaire et financière » au sein du LAPE-CRMM EA(1088) de 1992 à 2005 </w:t>
      </w:r>
    </w:p>
    <w:p w:rsidR="00337211" w:rsidRDefault="00337211" w:rsidP="00337211">
      <w:pPr>
        <w:ind w:left="360" w:hanging="360"/>
      </w:pPr>
      <w:r>
        <w:t>•</w:t>
      </w:r>
      <w:r>
        <w:tab/>
        <w:t>Président de la section sciences économiques (directeur du Département d’Économie) de l'Université de Limoges, 1996-2010</w:t>
      </w:r>
    </w:p>
    <w:p w:rsidR="00337211" w:rsidRDefault="00337211" w:rsidP="00337211">
      <w:pPr>
        <w:ind w:left="360" w:hanging="360"/>
      </w:pPr>
      <w:r>
        <w:lastRenderedPageBreak/>
        <w:t>•</w:t>
      </w:r>
      <w:r>
        <w:tab/>
        <w:t>Vice-Doyen chargé des relations internationales de la Faculté de Droit et des Sciences Économiques de Limoges, Septembre 1994/ Février 2005. Responsable des relations internationales du secteur Économie, 2006-2015</w:t>
      </w:r>
    </w:p>
    <w:p w:rsidR="00337211" w:rsidRDefault="00337211" w:rsidP="00337211">
      <w:pPr>
        <w:ind w:left="360" w:hanging="360"/>
      </w:pPr>
      <w:r>
        <w:t>•</w:t>
      </w:r>
      <w:r>
        <w:tab/>
        <w:t>Directeur-adjoint du service des relations internationales de l'Université de Limoges, Chargé de mission aux relations européennes, 1995-2000</w:t>
      </w:r>
    </w:p>
    <w:p w:rsidR="00851B6C" w:rsidRDefault="00337211" w:rsidP="00337211">
      <w:pPr>
        <w:ind w:left="360" w:hanging="360"/>
      </w:pPr>
      <w:r>
        <w:t>•</w:t>
      </w:r>
      <w:r>
        <w:tab/>
        <w:t>Membre élu du Conseil scientifique de l'Université de Limoges de 1994 à 2013 puis de la commission recherche et du conseil académique. Membre de la commission mixte permanente (CA/CS) de 2009 à 2012 et du comité PES en 2013 et PEDR de 2014 à 2021.</w:t>
      </w:r>
    </w:p>
    <w:p w:rsidR="00337211" w:rsidRDefault="00851B6C" w:rsidP="00337211">
      <w:pPr>
        <w:ind w:left="360" w:hanging="360"/>
      </w:pPr>
      <w:r>
        <w:t xml:space="preserve">• </w:t>
      </w:r>
      <w:r>
        <w:tab/>
        <w:t xml:space="preserve">Membre du conseil de la stratégie internationale de l’université de Limoges (CSI) depuis 2017.  </w:t>
      </w:r>
    </w:p>
    <w:p w:rsidR="002A5850" w:rsidRDefault="00337211" w:rsidP="00DC4F6F">
      <w:pPr>
        <w:ind w:left="360" w:hanging="360"/>
      </w:pPr>
      <w:r>
        <w:t>•</w:t>
      </w:r>
      <w:r>
        <w:tab/>
        <w:t>Membre élu du conseil de gestion de la Faculté de Droit et des Sciences Économiques de Limoges, 1998-2015.</w:t>
      </w:r>
    </w:p>
    <w:p w:rsidR="00C97B67" w:rsidRDefault="002A5850" w:rsidP="00DC4F6F">
      <w:pPr>
        <w:ind w:left="360" w:hanging="360"/>
      </w:pPr>
      <w:r>
        <w:t>•</w:t>
      </w:r>
      <w:r>
        <w:tab/>
        <w:t xml:space="preserve">Membre du conseil de l'Institut de Recherche SHS de l'Université de Limoges (fédération de 9 laboratoires) de 2002 à 2019 puis de l’Institut de Recherche GIO, Gouvernance des Institutions et des Organisations, depuis 2019.  </w:t>
      </w:r>
    </w:p>
    <w:p w:rsidR="00F30EDD" w:rsidRDefault="00F75772" w:rsidP="00F75772">
      <w:pPr>
        <w:ind w:left="360" w:hanging="360"/>
      </w:pPr>
      <w:r>
        <w:t>•</w:t>
      </w:r>
      <w:r>
        <w:tab/>
        <w:t xml:space="preserve">Membre du Conseil de l’École doctorale ED SHS 375 de l’Université de Limoges 2005/2009 puis du Conseil de l’École Doctorale Thématique 526 Sociétés et organisations de 2009 à 2021 puis de l’Ecole Doctorale Gouvernance des Institutions et des Organisations (ED 655) depuis 2021. Membre du conseil du Collège doctoral depuis 2012. </w:t>
      </w:r>
    </w:p>
    <w:p w:rsidR="00BA0A19" w:rsidRDefault="00F30EDD" w:rsidP="00F75772">
      <w:pPr>
        <w:ind w:left="360" w:hanging="360"/>
      </w:pPr>
      <w:r>
        <w:rPr>
          <w:szCs w:val="22"/>
        </w:rPr>
        <w:t>•</w:t>
      </w:r>
      <w:r>
        <w:rPr>
          <w:szCs w:val="22"/>
        </w:rPr>
        <w:tab/>
        <w:t xml:space="preserve">Membre de la mission en charge de définir les critères d’attribution des crédits aux laboratoires de recherche de l’université de Limoges suite aux évaluations HCERES, depuis 2021. </w:t>
      </w:r>
      <w:r>
        <w:t xml:space="preserve"> </w:t>
      </w:r>
    </w:p>
    <w:p w:rsidR="00DF0EBF" w:rsidRPr="00F75772" w:rsidRDefault="00DF0EBF" w:rsidP="00F75772">
      <w:pPr>
        <w:ind w:left="360" w:hanging="360"/>
      </w:pPr>
      <w:r>
        <w:rPr>
          <w:szCs w:val="22"/>
        </w:rPr>
        <w:t>•</w:t>
      </w:r>
      <w:r>
        <w:rPr>
          <w:szCs w:val="22"/>
        </w:rPr>
        <w:tab/>
        <w:t>Membre de la Section Disciplinaire compétente à l'égard des Enseignants-Chercheurs et des Enseignants (Université de Limoges) depuis avril 2025.</w:t>
      </w:r>
    </w:p>
    <w:p w:rsidR="00F75772" w:rsidRPr="00E478D1" w:rsidRDefault="00F75772" w:rsidP="00DC4F6F">
      <w:pPr>
        <w:ind w:left="360" w:hanging="360"/>
      </w:pPr>
    </w:p>
    <w:p w:rsidR="000C4B81" w:rsidRDefault="000C4B81" w:rsidP="00FB673D">
      <w:pPr>
        <w:tabs>
          <w:tab w:val="left" w:pos="3400"/>
        </w:tabs>
      </w:pPr>
    </w:p>
    <w:p w:rsidR="000C4B81" w:rsidRDefault="000C4B81">
      <w:pPr>
        <w:pBdr>
          <w:top w:val="single" w:sz="6" w:space="1" w:color="auto"/>
          <w:left w:val="single" w:sz="6" w:space="1" w:color="auto"/>
          <w:bottom w:val="single" w:sz="6" w:space="1" w:color="auto"/>
          <w:right w:val="single" w:sz="6" w:space="1" w:color="auto"/>
        </w:pBdr>
        <w:shd w:val="pct10" w:color="auto" w:fill="auto"/>
        <w:jc w:val="center"/>
        <w:outlineLvl w:val="0"/>
        <w:rPr>
          <w:b/>
          <w:caps/>
          <w:sz w:val="36"/>
        </w:rPr>
      </w:pPr>
      <w:r>
        <w:rPr>
          <w:b/>
          <w:caps/>
          <w:sz w:val="36"/>
        </w:rPr>
        <w:t>activités d'enseignement</w:t>
      </w:r>
    </w:p>
    <w:p w:rsidR="00337211" w:rsidRPr="00337211" w:rsidRDefault="00337211" w:rsidP="00337211"/>
    <w:p w:rsidR="000C4B81" w:rsidRDefault="000C4B81">
      <w:pPr>
        <w:pStyle w:val="Titre3"/>
      </w:pPr>
      <w:r>
        <w:t xml:space="preserve">Cours et séminaires dispensés à l’Université de Limoges </w:t>
      </w:r>
    </w:p>
    <w:p w:rsidR="000C4B81" w:rsidRDefault="000C4B81">
      <w:pPr>
        <w:rPr>
          <w:b/>
          <w:i/>
        </w:rPr>
      </w:pPr>
    </w:p>
    <w:p w:rsidR="000C4B81" w:rsidRDefault="000C4B81" w:rsidP="00E478D1">
      <w:pPr>
        <w:ind w:left="360" w:hanging="360"/>
      </w:pPr>
      <w:r>
        <w:rPr>
          <w:b/>
        </w:rPr>
        <w:t>•</w:t>
      </w:r>
      <w:r>
        <w:rPr>
          <w:b/>
        </w:rPr>
        <w:tab/>
        <w:t>« </w:t>
      </w:r>
      <w:r>
        <w:t>Microéconomie » 1ère année AES, 25h, (1991-1997)</w:t>
      </w:r>
    </w:p>
    <w:p w:rsidR="000C4B81" w:rsidRDefault="000C4B81" w:rsidP="00E478D1">
      <w:pPr>
        <w:ind w:left="360" w:hanging="360"/>
      </w:pPr>
      <w:r>
        <w:t>•</w:t>
      </w:r>
      <w:r>
        <w:tab/>
        <w:t>« Finance » en Maîtrise sciences éco., 50h, (1992-00)</w:t>
      </w:r>
    </w:p>
    <w:p w:rsidR="000C4B81" w:rsidRDefault="000C4B81" w:rsidP="00E478D1">
      <w:pPr>
        <w:ind w:left="360" w:hanging="360"/>
      </w:pPr>
      <w:r>
        <w:t>•</w:t>
      </w:r>
      <w:r>
        <w:tab/>
        <w:t>« Marchés financiers et gestion du patrimoine » en Maîtrise sciences éco., 37,5h, (1992-01)</w:t>
      </w:r>
    </w:p>
    <w:p w:rsidR="000C4B81" w:rsidRDefault="000C4B81" w:rsidP="00E478D1">
      <w:pPr>
        <w:ind w:left="360" w:hanging="360"/>
      </w:pPr>
      <w:r>
        <w:t>•</w:t>
      </w:r>
      <w:r>
        <w:tab/>
        <w:t>« Traitement de l'information » en Maîtrise et en DEA, 20h, (1992-95)</w:t>
      </w:r>
    </w:p>
    <w:p w:rsidR="000C4B81" w:rsidRPr="00E478D1" w:rsidRDefault="000C4B81" w:rsidP="00E478D1">
      <w:pPr>
        <w:ind w:left="360" w:hanging="360"/>
      </w:pPr>
      <w:r>
        <w:t>•</w:t>
      </w:r>
      <w:r>
        <w:tab/>
        <w:t>« Marchés boursiers » en DESS, 30h, (1993-01) puis en Master 2 (2007-2017 puis 2022-2025)</w:t>
      </w:r>
      <w:r>
        <w:rPr>
          <w:b/>
          <w:i/>
        </w:rPr>
        <w:t xml:space="preserve"> </w:t>
      </w:r>
    </w:p>
    <w:p w:rsidR="000C4B81" w:rsidRDefault="000C4B81" w:rsidP="00E478D1">
      <w:pPr>
        <w:ind w:left="360" w:hanging="360"/>
      </w:pPr>
      <w:r>
        <w:t>•</w:t>
      </w:r>
      <w:r>
        <w:tab/>
        <w:t xml:space="preserve">« Banque, finance et réglementation » en DEA, 20h, (1995-02) puis en Master 2 (2005-2013), </w:t>
      </w:r>
    </w:p>
    <w:p w:rsidR="000C4B81" w:rsidRDefault="000C4B81" w:rsidP="00E478D1">
      <w:pPr>
        <w:ind w:left="360" w:hanging="360"/>
      </w:pPr>
      <w:r>
        <w:t>•</w:t>
      </w:r>
      <w:r>
        <w:tab/>
        <w:t>« Finance 1 » en Licence sciences éco., 24h, (2000-2004), puis en Master 1 Banque et Finance, 24h, (2004- )</w:t>
      </w:r>
    </w:p>
    <w:p w:rsidR="000C4B81" w:rsidRDefault="000C4B81" w:rsidP="00E478D1">
      <w:pPr>
        <w:ind w:left="360" w:hanging="360"/>
      </w:pPr>
      <w:r>
        <w:t>•</w:t>
      </w:r>
      <w:r>
        <w:tab/>
        <w:t xml:space="preserve">« Finance 2 » en Maîtrise sciences éco., 36h, (2000-2004), puis en Master 1 Banque et Finance, 2 fois 24h, (2004-2012) </w:t>
      </w:r>
    </w:p>
    <w:p w:rsidR="000223BF" w:rsidRDefault="000C4B81" w:rsidP="00E478D1">
      <w:pPr>
        <w:ind w:left="360" w:hanging="360"/>
      </w:pPr>
      <w:r>
        <w:t>•</w:t>
      </w:r>
      <w:r>
        <w:tab/>
        <w:t>« Economie de la Banque » en Master 1 Banque et Finance 24h, (2004-2017)</w:t>
      </w:r>
    </w:p>
    <w:p w:rsidR="000223BF" w:rsidRDefault="000223BF" w:rsidP="00E478D1">
      <w:pPr>
        <w:ind w:left="360" w:hanging="360"/>
      </w:pPr>
      <w:r>
        <w:t>•</w:t>
      </w:r>
      <w:r>
        <w:tab/>
        <w:t>« Simulations salle de marché » en Master 2, 10h (2007-2010)</w:t>
      </w:r>
    </w:p>
    <w:p w:rsidR="006D093C" w:rsidRDefault="006D093C" w:rsidP="00E478D1">
      <w:pPr>
        <w:ind w:left="360" w:hanging="360"/>
      </w:pPr>
      <w:r>
        <w:t>•</w:t>
      </w:r>
      <w:r>
        <w:tab/>
        <w:t>« Gestion d'un portefeuille fictif » en Master 2, 24h (2011- )</w:t>
      </w:r>
    </w:p>
    <w:p w:rsidR="00430D33" w:rsidRPr="00430D33" w:rsidRDefault="00430D33" w:rsidP="00E478D1">
      <w:pPr>
        <w:ind w:left="360" w:hanging="360"/>
        <w:rPr>
          <w:lang w:val="en-US"/>
        </w:rPr>
      </w:pPr>
      <w:r>
        <w:rPr>
          <w:lang w:val="en-US"/>
        </w:rPr>
        <w:t>•</w:t>
      </w:r>
      <w:r>
        <w:rPr>
          <w:lang w:val="en-US"/>
        </w:rPr>
        <w:tab/>
        <w:t>« Bank Risk and Regulation », (en Anglais), 24h, M2 Master+ in Banking and Finance, (2014- )</w:t>
      </w:r>
    </w:p>
    <w:p w:rsidR="00430D33" w:rsidRPr="00430D33" w:rsidRDefault="00430D33" w:rsidP="00E478D1">
      <w:pPr>
        <w:ind w:left="360" w:hanging="360"/>
        <w:rPr>
          <w:lang w:val="en-US"/>
        </w:rPr>
      </w:pPr>
      <w:r>
        <w:rPr>
          <w:lang w:val="en-US"/>
        </w:rPr>
        <w:t xml:space="preserve">• </w:t>
      </w:r>
      <w:r>
        <w:rPr>
          <w:lang w:val="en-US"/>
        </w:rPr>
        <w:tab/>
        <w:t>« Research Methodology », (en Anglais), 18h, M2 Master+ in Banking and Finance, (2021- )</w:t>
      </w:r>
    </w:p>
    <w:p w:rsidR="000C4B81" w:rsidRPr="00430D33" w:rsidRDefault="000C4B81" w:rsidP="00B41F70">
      <w:pPr>
        <w:rPr>
          <w:lang w:val="en-US"/>
        </w:rPr>
      </w:pPr>
    </w:p>
    <w:p w:rsidR="000C4B81" w:rsidRDefault="000C4B81">
      <w:pPr>
        <w:pStyle w:val="Titre3"/>
      </w:pPr>
      <w:r>
        <w:t xml:space="preserve">Cours et séminaires dispensés dans d’autres établissements français et étrangers </w:t>
      </w:r>
    </w:p>
    <w:p w:rsidR="000C4B81" w:rsidRDefault="000C4B81">
      <w:pPr>
        <w:ind w:left="360" w:hanging="360"/>
      </w:pPr>
    </w:p>
    <w:p w:rsidR="000C4B81" w:rsidRDefault="000C4B81" w:rsidP="00E478D1">
      <w:pPr>
        <w:ind w:left="360" w:hanging="360"/>
      </w:pPr>
      <w:r>
        <w:t>•</w:t>
      </w:r>
      <w:r>
        <w:tab/>
      </w:r>
      <w:r>
        <w:rPr>
          <w:i/>
        </w:rPr>
        <w:t>"Mutations et fragilisation des systèmes financiers</w:t>
      </w:r>
      <w:r>
        <w:t xml:space="preserve"> ": 5h à  l’IUFM (élèves professeurs stagiaires du CAPES) en 1997.</w:t>
      </w:r>
    </w:p>
    <w:p w:rsidR="000C4B81" w:rsidRDefault="000C4B81" w:rsidP="00E478D1">
      <w:pPr>
        <w:ind w:left="360" w:hanging="360"/>
      </w:pPr>
      <w:r>
        <w:t>•</w:t>
      </w:r>
      <w:r>
        <w:tab/>
      </w:r>
      <w:r>
        <w:rPr>
          <w:i/>
        </w:rPr>
        <w:t xml:space="preserve">"Bank Regulation : the case of deposit insurance " </w:t>
      </w:r>
      <w:r>
        <w:t>: 12h en 3ème cycle en tant que professeur invité</w:t>
      </w:r>
    </w:p>
    <w:p w:rsidR="000C4B81" w:rsidRDefault="000C4B81" w:rsidP="00E478D1">
      <w:pPr>
        <w:ind w:left="709"/>
      </w:pPr>
      <w:r>
        <w:t xml:space="preserve">- à l'Université de Birmingham (RU) depuis 1997 dans le cadre du Master in Money, Banking and Finance (MScMBF) ; </w:t>
      </w:r>
    </w:p>
    <w:p w:rsidR="000C4B81" w:rsidRDefault="000C4B81" w:rsidP="00E478D1">
      <w:pPr>
        <w:ind w:firstLine="709"/>
      </w:pPr>
      <w:r>
        <w:lastRenderedPageBreak/>
        <w:t>- à l’Université des Philippines en 1999 dans le cadre du Master in Finance (MSFinance)</w:t>
      </w:r>
    </w:p>
    <w:p w:rsidR="000C4B81" w:rsidRDefault="000C4B81" w:rsidP="00E478D1">
      <w:pPr>
        <w:ind w:left="360" w:hanging="360"/>
      </w:pPr>
      <w:r>
        <w:t>•</w:t>
      </w:r>
      <w:r>
        <w:tab/>
      </w:r>
      <w:r>
        <w:rPr>
          <w:i/>
          <w:iCs/>
        </w:rPr>
        <w:t>« Théorie financière : systèmes et marchés financiers »</w:t>
      </w:r>
      <w:r>
        <w:t xml:space="preserve"> : </w:t>
      </w:r>
      <w:r>
        <w:rPr>
          <w:u w:val="single"/>
        </w:rPr>
        <w:t>enseignement à distance</w:t>
      </w:r>
      <w:r>
        <w:t xml:space="preserve"> dispensé en collaboration avec D. Goyeau, Licence de monnaie et Finance, CNED, (1999-2006).</w:t>
      </w:r>
    </w:p>
    <w:p w:rsidR="000C4B81" w:rsidRDefault="000C4B81" w:rsidP="00E478D1">
      <w:pPr>
        <w:ind w:left="360" w:hanging="360"/>
      </w:pPr>
      <w:r>
        <w:t>•</w:t>
      </w:r>
      <w:r>
        <w:tab/>
      </w:r>
      <w:r>
        <w:rPr>
          <w:i/>
          <w:iCs/>
        </w:rPr>
        <w:t>« Instruments financiers »</w:t>
      </w:r>
      <w:r>
        <w:t> : 20h dans le DESS « Méthodes quantitatives et modélisation de l’entreprise », Université de la Réunion, (1999-2005).</w:t>
      </w:r>
    </w:p>
    <w:p w:rsidR="000C4B81" w:rsidRDefault="000C4B81" w:rsidP="00E478D1">
      <w:pPr>
        <w:ind w:left="360" w:hanging="360"/>
      </w:pPr>
      <w:r>
        <w:t>•</w:t>
      </w:r>
      <w:r>
        <w:tab/>
      </w:r>
      <w:r>
        <w:rPr>
          <w:i/>
        </w:rPr>
        <w:t>"Bourse et environnement économique</w:t>
      </w:r>
      <w:r>
        <w:t xml:space="preserve"> " : 3h dans le cadre de l’école de la Bourse, Euronext Paris, en 2001.</w:t>
      </w:r>
    </w:p>
    <w:p w:rsidR="000C4B81" w:rsidRDefault="000C4B81" w:rsidP="00E478D1">
      <w:pPr>
        <w:ind w:left="360" w:hanging="360"/>
      </w:pPr>
      <w:r>
        <w:t>•</w:t>
      </w:r>
      <w:r>
        <w:tab/>
      </w:r>
      <w:r>
        <w:rPr>
          <w:i/>
        </w:rPr>
        <w:t xml:space="preserve">"Fragilité financière et gestion des risques » </w:t>
      </w:r>
      <w:r>
        <w:t>: cours de 20h à l’IEP de Toulouse en 4</w:t>
      </w:r>
      <w:r>
        <w:rPr>
          <w:vertAlign w:val="superscript"/>
        </w:rPr>
        <w:t>ème</w:t>
      </w:r>
      <w:r>
        <w:t xml:space="preserve"> année (Université de Toulouse 1), de 2002 à 2007 puis séminaire de 24h en Anglais/Français depuis 2008.</w:t>
      </w:r>
    </w:p>
    <w:p w:rsidR="000C4B81" w:rsidRDefault="000C4B81" w:rsidP="00E478D1">
      <w:pPr>
        <w:ind w:left="360" w:hanging="360"/>
        <w:rPr>
          <w:iCs/>
        </w:rPr>
      </w:pPr>
      <w:r>
        <w:t>•</w:t>
      </w:r>
      <w:r>
        <w:tab/>
      </w:r>
      <w:r>
        <w:rPr>
          <w:i/>
        </w:rPr>
        <w:t xml:space="preserve">« Réglementation bancaire : assurance-dépôts et aléa de moralité » </w:t>
      </w:r>
      <w:r>
        <w:rPr>
          <w:iCs/>
        </w:rPr>
        <w:t>5h dans le cadre du cours « Économie bancaire II » du DEA « Monnaie, Banque, Finance », Université de Paris 1, (2003-2006).</w:t>
      </w:r>
    </w:p>
    <w:p w:rsidR="004E1F0E" w:rsidRDefault="004E1F0E" w:rsidP="00E478D1">
      <w:pPr>
        <w:ind w:left="360" w:hanging="360"/>
        <w:rPr>
          <w:iCs/>
        </w:rPr>
      </w:pPr>
      <w:r>
        <w:t>•</w:t>
      </w:r>
      <w:r>
        <w:tab/>
      </w:r>
      <w:r>
        <w:rPr>
          <w:i/>
        </w:rPr>
        <w:t xml:space="preserve">« Réglementation bancaire et financière », </w:t>
      </w:r>
      <w:r>
        <w:rPr>
          <w:iCs/>
        </w:rPr>
        <w:t>20h dans le M2 « Ingénierie économique et financière », Université de la Réunion, (2006-2009).</w:t>
      </w:r>
    </w:p>
    <w:p w:rsidR="000C4B81" w:rsidRDefault="000C4B81" w:rsidP="00E478D1">
      <w:pPr>
        <w:ind w:left="360" w:hanging="360"/>
        <w:rPr>
          <w:iCs/>
        </w:rPr>
      </w:pPr>
      <w:r>
        <w:t>•</w:t>
      </w:r>
      <w:r>
        <w:tab/>
      </w:r>
      <w:r>
        <w:rPr>
          <w:i/>
        </w:rPr>
        <w:t xml:space="preserve">« Bank risk and regulation » </w:t>
      </w:r>
      <w:r>
        <w:rPr>
          <w:iCs/>
        </w:rPr>
        <w:t xml:space="preserve">10h dans le cadre du programme européen </w:t>
      </w:r>
      <w:r>
        <w:t xml:space="preserve">Asia Link /ASIE 87-3010/2005/105-139, Université des Philippines en 2006. </w:t>
      </w:r>
      <w:r>
        <w:rPr>
          <w:iCs/>
        </w:rPr>
        <w:t xml:space="preserve"> </w:t>
      </w:r>
    </w:p>
    <w:p w:rsidR="001F4F18" w:rsidRDefault="001F4F18" w:rsidP="00E478D1">
      <w:pPr>
        <w:ind w:left="360" w:hanging="360"/>
        <w:rPr>
          <w:iCs/>
        </w:rPr>
      </w:pPr>
    </w:p>
    <w:p w:rsidR="00DA02C9" w:rsidRDefault="001F4F18" w:rsidP="00584DC1">
      <w:pPr>
        <w:ind w:left="360" w:hanging="360"/>
      </w:pPr>
      <w:r>
        <w:rPr>
          <w:b/>
          <w:i/>
          <w:u w:val="single"/>
        </w:rPr>
        <w:t>Coordination du Core Seminar in Banking, Macroeconomics and Finance</w:t>
      </w:r>
      <w:r>
        <w:t> : 9 séminaires de formation à la recherche de 10h chacun à l’attention de 60 enseignants des Philippines, formation qu’ils ont répliquée à 1200 enseignants sur l’ensemble de l’Archipel, depuis 2007, projet Asialink, Commission Européenne.</w:t>
      </w:r>
    </w:p>
    <w:p w:rsidR="00E21C0B" w:rsidRDefault="00E21C0B" w:rsidP="00584DC1">
      <w:pPr>
        <w:ind w:left="360" w:hanging="360"/>
      </w:pPr>
    </w:p>
    <w:p w:rsidR="00E21C0B" w:rsidRDefault="00E21C0B" w:rsidP="00584DC1">
      <w:pPr>
        <w:ind w:left="360" w:hanging="360"/>
      </w:pPr>
    </w:p>
    <w:p w:rsidR="00E21C0B" w:rsidRPr="00584DC1" w:rsidRDefault="00E21C0B" w:rsidP="00584DC1">
      <w:pPr>
        <w:ind w:left="360" w:hanging="360"/>
        <w:rPr>
          <w:iCs/>
        </w:rPr>
      </w:pPr>
    </w:p>
    <w:p w:rsidR="000C4B81" w:rsidRDefault="000C4B81">
      <w:pPr>
        <w:pBdr>
          <w:top w:val="single" w:sz="6" w:space="1" w:color="auto"/>
          <w:left w:val="single" w:sz="6" w:space="1" w:color="auto"/>
          <w:bottom w:val="single" w:sz="6" w:space="1" w:color="auto"/>
          <w:right w:val="single" w:sz="6" w:space="1" w:color="auto"/>
        </w:pBdr>
        <w:shd w:val="pct10" w:color="auto" w:fill="auto"/>
        <w:jc w:val="center"/>
        <w:outlineLvl w:val="0"/>
        <w:rPr>
          <w:b/>
          <w:position w:val="-4"/>
          <w:sz w:val="46"/>
        </w:rPr>
      </w:pPr>
      <w:r>
        <w:rPr>
          <w:b/>
          <w:sz w:val="36"/>
        </w:rPr>
        <w:t>ACTIVITES DE RECHERCHE ET RESPONSABILITES SCIENTIFIQUES</w:t>
      </w:r>
    </w:p>
    <w:p w:rsidR="000B0C52" w:rsidRPr="000B0C52" w:rsidRDefault="000B0C52" w:rsidP="000B0C52"/>
    <w:p w:rsidR="00284C22" w:rsidRDefault="00284C22" w:rsidP="00BA0A19">
      <w:pPr>
        <w:ind w:hanging="426"/>
        <w:jc w:val="both"/>
        <w:rPr>
          <w:b/>
          <w:u w:val="single"/>
        </w:rPr>
      </w:pPr>
    </w:p>
    <w:p w:rsidR="00BA0A19" w:rsidRDefault="00BA0A19" w:rsidP="00BA0A19">
      <w:pPr>
        <w:ind w:hanging="426"/>
        <w:jc w:val="both"/>
      </w:pPr>
      <w:r>
        <w:rPr>
          <w:b/>
          <w:u w:val="single"/>
        </w:rPr>
        <w:t>Membre d'associations et sociétés savantes</w:t>
      </w:r>
      <w:r>
        <w:t xml:space="preserve"> : </w:t>
      </w:r>
    </w:p>
    <w:p w:rsidR="00BA0A19" w:rsidRPr="00EA5C49" w:rsidRDefault="00BA0A19" w:rsidP="00BA0A19">
      <w:pPr>
        <w:ind w:hanging="426"/>
        <w:jc w:val="both"/>
        <w:rPr>
          <w:lang w:val="en-US"/>
        </w:rPr>
      </w:pPr>
      <w:r>
        <w:tab/>
      </w:r>
      <w:r>
        <w:rPr>
          <w:lang w:val="en-US"/>
        </w:rPr>
        <w:t xml:space="preserve">•AFA, AEA, FMA, AsianFA, AFSE, SWFA, CEA, IBEFA, MFA, WEAI, Wolpertinger...; </w:t>
      </w:r>
    </w:p>
    <w:p w:rsidR="00BA0A19" w:rsidRPr="00EA5C49" w:rsidRDefault="00BA0A19" w:rsidP="00BA0A19">
      <w:pPr>
        <w:jc w:val="both"/>
        <w:rPr>
          <w:lang w:val="en-US"/>
        </w:rPr>
      </w:pPr>
      <w:r>
        <w:rPr>
          <w:lang w:val="en-US"/>
        </w:rPr>
        <w:t xml:space="preserve">•Fellow, World Business Institute, Australia, depuis 2012; </w:t>
      </w:r>
    </w:p>
    <w:p w:rsidR="00BA0A19" w:rsidRPr="00F978A9" w:rsidRDefault="00BA0A19" w:rsidP="00BA0A19">
      <w:pPr>
        <w:jc w:val="both"/>
        <w:rPr>
          <w:lang w:val="en-US"/>
        </w:rPr>
      </w:pPr>
      <w:r>
        <w:rPr>
          <w:lang w:val="en-US"/>
        </w:rPr>
        <w:t>•Research Fellow, Economic Research Forum (ERF) depuis</w:t>
      </w:r>
      <w:r>
        <w:rPr>
          <w:bCs/>
          <w:lang w:val="en-US"/>
        </w:rPr>
        <w:t xml:space="preserve"> 2013 (</w:t>
      </w:r>
      <w:r>
        <w:rPr>
          <w:bCs/>
          <w:i/>
          <w:iCs/>
          <w:lang w:val="en-US"/>
        </w:rPr>
        <w:t>life member</w:t>
      </w:r>
      <w:r>
        <w:rPr>
          <w:bCs/>
          <w:lang w:val="en-US"/>
        </w:rPr>
        <w:t xml:space="preserve"> depuis 2023)</w:t>
      </w:r>
      <w:r>
        <w:rPr>
          <w:lang w:val="en-US"/>
        </w:rPr>
        <w:t xml:space="preserve"> ; </w:t>
      </w:r>
    </w:p>
    <w:p w:rsidR="00CD62BB" w:rsidRPr="00F978A9" w:rsidRDefault="00CD62BB" w:rsidP="00BA0A19">
      <w:pPr>
        <w:jc w:val="both"/>
        <w:rPr>
          <w:lang w:val="en-US"/>
        </w:rPr>
      </w:pPr>
      <w:r>
        <w:rPr>
          <w:lang w:val="en-US"/>
        </w:rPr>
        <w:t>•Louis Bachelier Fellow, depuis 2021 ;</w:t>
      </w:r>
    </w:p>
    <w:p w:rsidR="00EC55D5" w:rsidRDefault="00EC55D5" w:rsidP="00BA0A19">
      <w:pPr>
        <w:jc w:val="both"/>
        <w:rPr>
          <w:lang w:val="en-US"/>
        </w:rPr>
      </w:pPr>
      <w:r>
        <w:rPr>
          <w:lang w:val="en-US"/>
        </w:rPr>
        <w:t xml:space="preserve">•Fellow, Centre for Responsible Banking &amp; Finance depuis </w:t>
      </w:r>
      <w:proofErr w:type="gramStart"/>
      <w:r>
        <w:rPr>
          <w:lang w:val="en-US"/>
        </w:rPr>
        <w:t>2022 ;</w:t>
      </w:r>
      <w:proofErr w:type="gramEnd"/>
    </w:p>
    <w:p w:rsidR="00E95DE4" w:rsidRPr="00EC55D5" w:rsidRDefault="00E95DE4" w:rsidP="00BA0A19">
      <w:pPr>
        <w:jc w:val="both"/>
        <w:rPr>
          <w:lang w:val="en-US"/>
        </w:rPr>
      </w:pPr>
      <w:r>
        <w:rPr>
          <w:lang w:val="en-US"/>
        </w:rPr>
        <w:t>•</w:t>
      </w:r>
      <w:r w:rsidRPr="00E95DE4">
        <w:rPr>
          <w:lang w:val="en-US"/>
        </w:rPr>
        <w:t xml:space="preserve">Member of the Luxembourg Academy of Sciences and Arts (LASA), </w:t>
      </w:r>
      <w:proofErr w:type="spellStart"/>
      <w:r>
        <w:rPr>
          <w:lang w:val="en-US"/>
        </w:rPr>
        <w:t>depuis</w:t>
      </w:r>
      <w:proofErr w:type="spellEnd"/>
      <w:r w:rsidRPr="00E95DE4">
        <w:rPr>
          <w:lang w:val="en-US"/>
        </w:rPr>
        <w:t xml:space="preserve"> </w:t>
      </w:r>
      <w:proofErr w:type="gramStart"/>
      <w:r w:rsidRPr="00E95DE4">
        <w:rPr>
          <w:lang w:val="en-US"/>
        </w:rPr>
        <w:t>2026</w:t>
      </w:r>
      <w:r>
        <w:rPr>
          <w:lang w:val="en-US"/>
        </w:rPr>
        <w:t xml:space="preserve"> ;</w:t>
      </w:r>
      <w:proofErr w:type="gramEnd"/>
    </w:p>
    <w:p w:rsidR="00BA0A19" w:rsidRDefault="00BA0A19" w:rsidP="00BA0A19">
      <w:pPr>
        <w:jc w:val="both"/>
      </w:pPr>
      <w:r>
        <w:t xml:space="preserve">•Organisation de divers colloques en </w:t>
      </w:r>
      <w:r>
        <w:rPr>
          <w:b/>
        </w:rPr>
        <w:t>économie bancaire et financière</w:t>
      </w:r>
      <w:r>
        <w:t>, coordonnateur de réseaux internationaux et rapporteur/ président de session de diverses manifestations en France et à l'étranger.</w:t>
      </w:r>
    </w:p>
    <w:p w:rsidR="00584DC1" w:rsidRPr="00BA0A19" w:rsidRDefault="00584DC1" w:rsidP="00BA0A19">
      <w:pPr>
        <w:jc w:val="both"/>
      </w:pPr>
    </w:p>
    <w:p w:rsidR="00BA0A19" w:rsidRDefault="00BA0A19" w:rsidP="00BA0A19">
      <w:pPr>
        <w:ind w:hanging="426"/>
        <w:jc w:val="both"/>
      </w:pPr>
      <w:r>
        <w:rPr>
          <w:b/>
          <w:u w:val="single"/>
        </w:rPr>
        <w:t>Comités scientifiques de sociétés savantes et associations</w:t>
      </w:r>
      <w:r>
        <w:t xml:space="preserve"> : </w:t>
      </w:r>
    </w:p>
    <w:p w:rsidR="00BA0A19" w:rsidRDefault="00BA0A19" w:rsidP="00BA0A19">
      <w:pPr>
        <w:ind w:hanging="426"/>
        <w:jc w:val="both"/>
      </w:pPr>
      <w:r>
        <w:tab/>
        <w:t xml:space="preserve">• Membre des comités scientifiques de « Devenir Boursier Européen »; </w:t>
      </w:r>
    </w:p>
    <w:p w:rsidR="00BA0A19" w:rsidRDefault="00BA0A19" w:rsidP="00BA0A19">
      <w:pPr>
        <w:jc w:val="both"/>
      </w:pPr>
      <w:r>
        <w:t xml:space="preserve">• du GDRE n° 335 "Monnaie, Banque et Finance"; •« Professional Committee of International Finance » </w:t>
      </w:r>
    </w:p>
    <w:p w:rsidR="00BA0A19" w:rsidRDefault="00BA0A19" w:rsidP="00BA0A19">
      <w:pPr>
        <w:jc w:val="both"/>
      </w:pPr>
      <w:r>
        <w:t>•Membre Fondateur du réseau de recherche Européen FINEST (Financial Intermediation Network for European STudies), membre du "Steering Committee", University of Rome III, depuis 2011.</w:t>
      </w:r>
    </w:p>
    <w:p w:rsidR="000449C1" w:rsidRDefault="000449C1" w:rsidP="00BA0A19">
      <w:pPr>
        <w:jc w:val="both"/>
      </w:pPr>
      <w:r>
        <w:t xml:space="preserve">•Membre du EuRun-BIS research network. </w:t>
      </w:r>
    </w:p>
    <w:p w:rsidR="00E36096" w:rsidRPr="00BA0A19" w:rsidRDefault="00E36096" w:rsidP="00BA0A19">
      <w:pPr>
        <w:jc w:val="both"/>
      </w:pPr>
      <w:r>
        <w:t xml:space="preserve">•Membre du comité consultatif (Advisory Board) de EBES </w:t>
      </w:r>
    </w:p>
    <w:p w:rsidR="00584DC1" w:rsidRPr="00247E20" w:rsidRDefault="00584DC1" w:rsidP="00BA0A19">
      <w:pPr>
        <w:tabs>
          <w:tab w:val="left" w:pos="1701"/>
          <w:tab w:val="left" w:pos="1927"/>
        </w:tabs>
        <w:ind w:hanging="426"/>
        <w:jc w:val="both"/>
        <w:rPr>
          <w:b/>
          <w:u w:val="single"/>
        </w:rPr>
      </w:pPr>
    </w:p>
    <w:p w:rsidR="000E45C9" w:rsidRPr="00F87BA6" w:rsidRDefault="00BA0A19" w:rsidP="00812CA0">
      <w:pPr>
        <w:tabs>
          <w:tab w:val="left" w:pos="1701"/>
          <w:tab w:val="left" w:pos="1927"/>
        </w:tabs>
        <w:ind w:hanging="426"/>
        <w:jc w:val="both"/>
        <w:rPr>
          <w:lang w:val="en-US"/>
        </w:rPr>
      </w:pPr>
      <w:r>
        <w:rPr>
          <w:b/>
          <w:u w:val="single"/>
          <w:lang w:val="en-US"/>
        </w:rPr>
        <w:t>Comités de rédaction</w:t>
      </w:r>
      <w:r>
        <w:rPr>
          <w:b/>
          <w:sz w:val="28"/>
          <w:szCs w:val="28"/>
          <w:lang w:val="en-US"/>
        </w:rPr>
        <w:t xml:space="preserve"> </w:t>
      </w:r>
      <w:r>
        <w:rPr>
          <w:lang w:val="en-US"/>
        </w:rPr>
        <w:t>:</w:t>
      </w:r>
    </w:p>
    <w:p w:rsidR="00040DD9" w:rsidRPr="00EA5C49" w:rsidRDefault="00BA0A19" w:rsidP="00BA0A19">
      <w:pPr>
        <w:tabs>
          <w:tab w:val="left" w:pos="1701"/>
          <w:tab w:val="left" w:pos="1927"/>
        </w:tabs>
        <w:ind w:hanging="426"/>
        <w:jc w:val="both"/>
        <w:rPr>
          <w:lang w:val="en-US"/>
        </w:rPr>
      </w:pPr>
      <w:r>
        <w:rPr>
          <w:lang w:val="en-US"/>
        </w:rPr>
        <w:tab/>
        <w:t>•Journal of Money, Credit and Banking (associate editor, past 2017-2024))</w:t>
      </w:r>
    </w:p>
    <w:p w:rsidR="00E36096" w:rsidRPr="00EA5C49" w:rsidRDefault="00040DD9" w:rsidP="00BA0A19">
      <w:pPr>
        <w:tabs>
          <w:tab w:val="left" w:pos="1701"/>
          <w:tab w:val="left" w:pos="1927"/>
        </w:tabs>
        <w:ind w:hanging="426"/>
        <w:jc w:val="both"/>
        <w:rPr>
          <w:lang w:val="en-US"/>
        </w:rPr>
      </w:pPr>
      <w:r>
        <w:rPr>
          <w:lang w:val="en-US"/>
        </w:rPr>
        <w:lastRenderedPageBreak/>
        <w:tab/>
        <w:t>•Journal of Banking and Finance (associate editor, past (2013-2017))</w:t>
      </w:r>
    </w:p>
    <w:p w:rsidR="00BA0A19" w:rsidRPr="00EA5C49" w:rsidRDefault="00E36096" w:rsidP="00BA0A19">
      <w:pPr>
        <w:tabs>
          <w:tab w:val="left" w:pos="1701"/>
          <w:tab w:val="left" w:pos="1927"/>
        </w:tabs>
        <w:ind w:hanging="426"/>
        <w:jc w:val="both"/>
        <w:rPr>
          <w:lang w:val="en-US"/>
        </w:rPr>
      </w:pPr>
      <w:r>
        <w:rPr>
          <w:lang w:val="en-US"/>
        </w:rPr>
        <w:tab/>
        <w:t>•Journal of Financial Stability (associate editor)</w:t>
      </w:r>
    </w:p>
    <w:p w:rsidR="00BA0A19" w:rsidRDefault="00BA0A19" w:rsidP="00BA0A19">
      <w:pPr>
        <w:tabs>
          <w:tab w:val="left" w:pos="1701"/>
          <w:tab w:val="left" w:pos="1927"/>
        </w:tabs>
        <w:ind w:hanging="426"/>
        <w:jc w:val="both"/>
        <w:rPr>
          <w:lang w:val="en-US"/>
        </w:rPr>
      </w:pPr>
      <w:r>
        <w:rPr>
          <w:lang w:val="en-US"/>
        </w:rPr>
        <w:tab/>
        <w:t xml:space="preserve">•European Journal of Finance (associate editor) </w:t>
      </w:r>
    </w:p>
    <w:p w:rsidR="00812CA0" w:rsidRPr="00812CA0" w:rsidRDefault="00812CA0" w:rsidP="00BA0A19">
      <w:pPr>
        <w:tabs>
          <w:tab w:val="left" w:pos="1701"/>
          <w:tab w:val="left" w:pos="1927"/>
        </w:tabs>
        <w:ind w:hanging="426"/>
        <w:jc w:val="both"/>
        <w:rPr>
          <w:lang w:val="en-US"/>
        </w:rPr>
      </w:pPr>
      <w:r>
        <w:rPr>
          <w:lang w:val="en-US"/>
        </w:rPr>
        <w:tab/>
        <w:t>•Associate Editor International Review of Financial Analysis (associate editor)</w:t>
      </w:r>
    </w:p>
    <w:p w:rsidR="00576DD0" w:rsidRPr="00EA5C49" w:rsidRDefault="00BA0A19" w:rsidP="00BA0A19">
      <w:pPr>
        <w:tabs>
          <w:tab w:val="left" w:pos="1701"/>
          <w:tab w:val="left" w:pos="1927"/>
        </w:tabs>
        <w:ind w:hanging="426"/>
        <w:jc w:val="both"/>
        <w:rPr>
          <w:lang w:val="en-US"/>
        </w:rPr>
      </w:pPr>
      <w:r>
        <w:rPr>
          <w:lang w:val="en-US"/>
        </w:rPr>
        <w:tab/>
        <w:t>•International Journal of Banking, Accounting and Finance (associate editor)</w:t>
      </w:r>
    </w:p>
    <w:p w:rsidR="00BA0A19" w:rsidRPr="00EA5C49" w:rsidRDefault="00BA0A19" w:rsidP="00BA0A19">
      <w:pPr>
        <w:tabs>
          <w:tab w:val="left" w:pos="1701"/>
          <w:tab w:val="left" w:pos="1927"/>
        </w:tabs>
        <w:ind w:hanging="426"/>
        <w:jc w:val="both"/>
        <w:rPr>
          <w:lang w:val="en-US"/>
        </w:rPr>
      </w:pPr>
      <w:r>
        <w:rPr>
          <w:lang w:val="en-US"/>
        </w:rPr>
        <w:t xml:space="preserve"> </w:t>
      </w:r>
      <w:r>
        <w:rPr>
          <w:lang w:val="en-US"/>
        </w:rPr>
        <w:tab/>
        <w:t>•Global Finance Journal (associate editor)</w:t>
      </w:r>
    </w:p>
    <w:p w:rsidR="000E23B1" w:rsidRPr="00EA5C49" w:rsidRDefault="000E23B1" w:rsidP="00BA0A19">
      <w:pPr>
        <w:tabs>
          <w:tab w:val="left" w:pos="1701"/>
          <w:tab w:val="left" w:pos="1927"/>
        </w:tabs>
        <w:ind w:hanging="426"/>
        <w:jc w:val="both"/>
        <w:rPr>
          <w:lang w:val="en-US"/>
        </w:rPr>
      </w:pPr>
      <w:r>
        <w:rPr>
          <w:lang w:val="en-US"/>
        </w:rPr>
        <w:tab/>
        <w:t>•International Journal of Islamic and Middle Eastern Finance and Management (associate editor)</w:t>
      </w:r>
    </w:p>
    <w:p w:rsidR="006B5632" w:rsidRDefault="00BA0A19" w:rsidP="00BA0A19">
      <w:pPr>
        <w:tabs>
          <w:tab w:val="left" w:pos="1701"/>
          <w:tab w:val="left" w:pos="1927"/>
        </w:tabs>
        <w:ind w:hanging="426"/>
        <w:jc w:val="both"/>
        <w:rPr>
          <w:lang w:val="en-US"/>
        </w:rPr>
      </w:pPr>
      <w:r>
        <w:rPr>
          <w:lang w:val="en-US"/>
        </w:rPr>
        <w:tab/>
        <w:t>•International Review of Accounting, Banking, and Finance (editorial board member)</w:t>
      </w:r>
    </w:p>
    <w:p w:rsidR="00BA0A19" w:rsidRPr="00EA5C49" w:rsidRDefault="006B5632" w:rsidP="00BA0A19">
      <w:pPr>
        <w:tabs>
          <w:tab w:val="left" w:pos="1701"/>
          <w:tab w:val="left" w:pos="1927"/>
        </w:tabs>
        <w:ind w:hanging="426"/>
        <w:jc w:val="both"/>
        <w:rPr>
          <w:lang w:val="en-US"/>
        </w:rPr>
      </w:pPr>
      <w:r>
        <w:rPr>
          <w:lang w:val="en-US"/>
        </w:rPr>
        <w:tab/>
        <w:t xml:space="preserve">•Journal of Risk and Financial Management (editorial board member) </w:t>
      </w:r>
    </w:p>
    <w:p w:rsidR="00D53789" w:rsidRDefault="00D53789" w:rsidP="00BA0A19">
      <w:pPr>
        <w:tabs>
          <w:tab w:val="left" w:pos="1701"/>
          <w:tab w:val="left" w:pos="1927"/>
        </w:tabs>
        <w:ind w:hanging="426"/>
        <w:jc w:val="both"/>
        <w:rPr>
          <w:lang w:val="en-US"/>
        </w:rPr>
      </w:pPr>
      <w:r>
        <w:rPr>
          <w:lang w:val="en-US"/>
        </w:rPr>
        <w:tab/>
        <w:t>•Journal of Governance and Regulation (editorial board member)</w:t>
      </w:r>
    </w:p>
    <w:p w:rsidR="00D64A1A" w:rsidRDefault="00D64A1A" w:rsidP="00BA0A19">
      <w:pPr>
        <w:tabs>
          <w:tab w:val="left" w:pos="1701"/>
          <w:tab w:val="left" w:pos="1927"/>
        </w:tabs>
        <w:ind w:hanging="426"/>
        <w:jc w:val="both"/>
        <w:rPr>
          <w:lang w:val="en-US"/>
        </w:rPr>
      </w:pPr>
      <w:r>
        <w:rPr>
          <w:lang w:val="en-US"/>
        </w:rPr>
        <w:tab/>
        <w:t>•Review of Business (editorial board member)</w:t>
      </w:r>
    </w:p>
    <w:p w:rsidR="001A2D16" w:rsidRDefault="001A2D16" w:rsidP="00BA0A19">
      <w:pPr>
        <w:tabs>
          <w:tab w:val="left" w:pos="1701"/>
          <w:tab w:val="left" w:pos="1927"/>
        </w:tabs>
        <w:ind w:hanging="426"/>
        <w:jc w:val="both"/>
        <w:rPr>
          <w:lang w:val="en-US"/>
        </w:rPr>
      </w:pPr>
      <w:r>
        <w:rPr>
          <w:lang w:val="en-US"/>
        </w:rPr>
        <w:tab/>
        <w:t>•Indonesian Economic Journal (editorial board member)</w:t>
      </w:r>
    </w:p>
    <w:p w:rsidR="001C2BFC" w:rsidRPr="00EA5C49" w:rsidRDefault="001C2BFC" w:rsidP="00BA0A19">
      <w:pPr>
        <w:tabs>
          <w:tab w:val="left" w:pos="1701"/>
          <w:tab w:val="left" w:pos="1927"/>
        </w:tabs>
        <w:ind w:hanging="426"/>
        <w:jc w:val="both"/>
        <w:rPr>
          <w:lang w:val="en-US"/>
        </w:rPr>
      </w:pPr>
      <w:r>
        <w:rPr>
          <w:lang w:val="en-US"/>
        </w:rPr>
        <w:tab/>
        <w:t>•International Journal of Financial Systems (editorial board member)</w:t>
      </w:r>
    </w:p>
    <w:p w:rsidR="00BA0A19" w:rsidRPr="00EA5C49" w:rsidRDefault="00BA0A19" w:rsidP="00BA0A19">
      <w:pPr>
        <w:tabs>
          <w:tab w:val="left" w:pos="1701"/>
          <w:tab w:val="left" w:pos="1927"/>
        </w:tabs>
        <w:ind w:hanging="426"/>
        <w:jc w:val="both"/>
        <w:rPr>
          <w:lang w:val="en-US"/>
        </w:rPr>
      </w:pPr>
      <w:r>
        <w:rPr>
          <w:lang w:val="en-US"/>
        </w:rPr>
        <w:tab/>
        <w:t>•Banks and Banking Systems</w:t>
      </w:r>
    </w:p>
    <w:p w:rsidR="00BA0A19" w:rsidRPr="00EA5C49" w:rsidRDefault="00BA0A19" w:rsidP="00BA0A19">
      <w:pPr>
        <w:tabs>
          <w:tab w:val="left" w:pos="1701"/>
          <w:tab w:val="left" w:pos="1927"/>
        </w:tabs>
        <w:ind w:hanging="426"/>
        <w:jc w:val="both"/>
        <w:rPr>
          <w:lang w:val="en-US"/>
        </w:rPr>
      </w:pPr>
      <w:r>
        <w:rPr>
          <w:lang w:val="en-US"/>
        </w:rPr>
        <w:tab/>
        <w:t>•Ventura, the journal of Economics, Business, and Accountancy</w:t>
      </w:r>
    </w:p>
    <w:p w:rsidR="00040DD9" w:rsidRPr="006B5632" w:rsidRDefault="00040DD9" w:rsidP="00BA0A19">
      <w:pPr>
        <w:tabs>
          <w:tab w:val="left" w:pos="1701"/>
          <w:tab w:val="left" w:pos="1927"/>
        </w:tabs>
        <w:ind w:hanging="426"/>
        <w:jc w:val="both"/>
        <w:rPr>
          <w:lang w:val="en-US"/>
        </w:rPr>
      </w:pPr>
      <w:r>
        <w:rPr>
          <w:lang w:val="en-US"/>
        </w:rPr>
        <w:tab/>
        <w:t>•Istanbul Journal of Economics (advisory board)</w:t>
      </w:r>
    </w:p>
    <w:p w:rsidR="000E23B1" w:rsidRDefault="000E23B1" w:rsidP="00BA0A19">
      <w:pPr>
        <w:tabs>
          <w:tab w:val="left" w:pos="1701"/>
          <w:tab w:val="left" w:pos="1927"/>
        </w:tabs>
        <w:ind w:hanging="426"/>
        <w:jc w:val="both"/>
        <w:rPr>
          <w:bCs/>
          <w:lang w:val="en-US"/>
        </w:rPr>
      </w:pPr>
      <w:r>
        <w:rPr>
          <w:bCs/>
          <w:lang w:val="en-US"/>
        </w:rPr>
        <w:tab/>
      </w:r>
      <w:r>
        <w:rPr>
          <w:lang w:val="en-US"/>
        </w:rPr>
        <w:t>•</w:t>
      </w:r>
      <w:r>
        <w:rPr>
          <w:bCs/>
          <w:lang w:val="en-US"/>
        </w:rPr>
        <w:t>Sriwijaya International Journal of Dynamic Economics and Business (advisory board);</w:t>
      </w:r>
    </w:p>
    <w:p w:rsidR="00970D3D" w:rsidRDefault="00970D3D" w:rsidP="00BA0A19">
      <w:pPr>
        <w:tabs>
          <w:tab w:val="left" w:pos="1701"/>
          <w:tab w:val="left" w:pos="1927"/>
        </w:tabs>
        <w:ind w:hanging="426"/>
        <w:jc w:val="both"/>
        <w:rPr>
          <w:lang w:val="en-US"/>
        </w:rPr>
      </w:pPr>
      <w:r>
        <w:rPr>
          <w:lang w:val="en-US"/>
        </w:rPr>
        <w:tab/>
        <w:t>•Journal of Islamic Monetary Economics &amp; Finance (editorial board member);</w:t>
      </w:r>
    </w:p>
    <w:p w:rsidR="000679CC" w:rsidRPr="00EA5C49" w:rsidRDefault="000679CC" w:rsidP="00BA0A19">
      <w:pPr>
        <w:tabs>
          <w:tab w:val="left" w:pos="1701"/>
          <w:tab w:val="left" w:pos="1927"/>
        </w:tabs>
        <w:ind w:hanging="426"/>
        <w:jc w:val="both"/>
        <w:rPr>
          <w:lang w:val="en-US"/>
        </w:rPr>
      </w:pPr>
      <w:r>
        <w:rPr>
          <w:lang w:val="en-US"/>
        </w:rPr>
        <w:tab/>
        <w:t>•International Journal of Islamic Finance and Sustainable Development (advisory board)</w:t>
      </w:r>
    </w:p>
    <w:p w:rsidR="000E45C9" w:rsidRPr="003E65B3" w:rsidRDefault="00BA0A19" w:rsidP="003E65B3">
      <w:pPr>
        <w:tabs>
          <w:tab w:val="left" w:pos="1701"/>
          <w:tab w:val="left" w:pos="1927"/>
        </w:tabs>
        <w:ind w:hanging="426"/>
        <w:jc w:val="both"/>
      </w:pPr>
      <w:r>
        <w:rPr>
          <w:lang w:val="en-US"/>
        </w:rPr>
        <w:tab/>
      </w:r>
      <w:r>
        <w:t xml:space="preserve">•CIFER (Université de Loughborough); •GFC (Université de Birmingham, past). </w:t>
      </w:r>
    </w:p>
    <w:p w:rsidR="000E45C9" w:rsidRDefault="000E45C9" w:rsidP="00584DC1">
      <w:pPr>
        <w:ind w:left="-426"/>
        <w:jc w:val="both"/>
        <w:rPr>
          <w:b/>
          <w:bCs/>
          <w:u w:val="single"/>
        </w:rPr>
      </w:pPr>
    </w:p>
    <w:p w:rsidR="00584DC1" w:rsidRPr="00BA0A19" w:rsidRDefault="00584DC1" w:rsidP="00584DC1">
      <w:pPr>
        <w:ind w:left="-426"/>
        <w:jc w:val="both"/>
        <w:rPr>
          <w:b/>
          <w:bCs/>
          <w:u w:val="single"/>
        </w:rPr>
      </w:pPr>
      <w:r>
        <w:rPr>
          <w:b/>
          <w:bCs/>
          <w:u w:val="single"/>
        </w:rPr>
        <w:t>Prix/Distinctions/Conférences invitées/distinguées depuis 2006</w:t>
      </w:r>
    </w:p>
    <w:p w:rsidR="00F03FC3" w:rsidRPr="005E7A07" w:rsidRDefault="00726418" w:rsidP="00F03FC3">
      <w:pPr>
        <w:rPr>
          <w:bCs/>
          <w:lang w:val="en-US"/>
        </w:rPr>
      </w:pPr>
      <w:r>
        <w:t xml:space="preserve">• Kuwait Prize 2020 in the field of Economics and social sciences, KFAS (Kuwait Foundation for the Advancement of Sciences) • Palmes académiques : Chevalier en 2005, Officier en 2013 puis Commandeur depuis 2022. • Who's Who in the World (Marquis). • PEDR de 1998 à 2010, PES de 2010 à 2014, PEDR de 2014 à 2022 et ensuite Prime Ripec 3. • Membre Senior IUF (Institut Universitaire de France), promotions 2017 et 2025. • Who’s Who in France (à partir d’octobre 2020). </w:t>
      </w:r>
      <w:r>
        <w:rPr>
          <w:lang w:val="en-US"/>
        </w:rPr>
        <w:t xml:space="preserve">• </w:t>
      </w:r>
      <w:r>
        <w:rPr>
          <w:lang w:val="en-GB"/>
        </w:rPr>
        <w:t>FDIC-JFSR 6</w:t>
      </w:r>
      <w:r>
        <w:rPr>
          <w:vertAlign w:val="superscript"/>
          <w:lang w:val="en-GB"/>
        </w:rPr>
        <w:t>th</w:t>
      </w:r>
      <w:r>
        <w:rPr>
          <w:lang w:val="en-GB"/>
        </w:rPr>
        <w:t xml:space="preserve"> Annual Bank Research Conference, </w:t>
      </w:r>
      <w:r>
        <w:rPr>
          <w:i/>
          <w:lang w:val="en-GB"/>
        </w:rPr>
        <w:t>Washington DC</w:t>
      </w:r>
      <w:r>
        <w:rPr>
          <w:lang w:val="en-GB"/>
        </w:rPr>
        <w:t xml:space="preserve">, Arlington, Virginia 13-15 September 2006. </w:t>
      </w:r>
      <w:r>
        <w:rPr>
          <w:lang w:val="en-US"/>
        </w:rPr>
        <w:t xml:space="preserve">• </w:t>
      </w:r>
      <w:r>
        <w:rPr>
          <w:lang w:val="en-GB"/>
        </w:rPr>
        <w:t>Top paper award 15</w:t>
      </w:r>
      <w:r>
        <w:rPr>
          <w:vertAlign w:val="superscript"/>
          <w:lang w:val="en-GB"/>
        </w:rPr>
        <w:t>th</w:t>
      </w:r>
      <w:r>
        <w:rPr>
          <w:lang w:val="en-GB"/>
        </w:rPr>
        <w:t xml:space="preserve"> GFC, </w:t>
      </w:r>
      <w:r>
        <w:rPr>
          <w:i/>
          <w:lang w:val="en-GB"/>
        </w:rPr>
        <w:t>Hangzhou</w:t>
      </w:r>
      <w:r>
        <w:rPr>
          <w:lang w:val="en-GB"/>
        </w:rPr>
        <w:t xml:space="preserve"> 18-20 May 2008.</w:t>
      </w:r>
      <w:r>
        <w:rPr>
          <w:lang w:val="en-US"/>
        </w:rPr>
        <w:t xml:space="preserve">• ERF Annual Conference, </w:t>
      </w:r>
      <w:r>
        <w:rPr>
          <w:i/>
          <w:lang w:val="en-US"/>
        </w:rPr>
        <w:t>Cairo</w:t>
      </w:r>
      <w:r>
        <w:rPr>
          <w:lang w:val="en-US"/>
        </w:rPr>
        <w:t xml:space="preserve">, 7-9 November 2009. • </w:t>
      </w:r>
      <w:r>
        <w:rPr>
          <w:bCs/>
          <w:lang w:val="en-GB"/>
        </w:rPr>
        <w:t xml:space="preserve">Keynote speaker, </w:t>
      </w:r>
      <w:r>
        <w:rPr>
          <w:lang w:val="en-GB"/>
        </w:rPr>
        <w:t xml:space="preserve">3rd International Conference on Quantitative Methods Used in Economics and Business,  </w:t>
      </w:r>
      <w:r>
        <w:rPr>
          <w:i/>
          <w:lang w:val="en-GB"/>
        </w:rPr>
        <w:t>Bandarlampung</w:t>
      </w:r>
      <w:r>
        <w:rPr>
          <w:lang w:val="en-GB"/>
        </w:rPr>
        <w:t xml:space="preserve">, 16-18 June 2010. </w:t>
      </w:r>
      <w:r>
        <w:rPr>
          <w:lang w:val="en-US"/>
        </w:rPr>
        <w:t xml:space="preserve">• 2011 IFABS </w:t>
      </w:r>
      <w:r>
        <w:rPr>
          <w:bCs/>
          <w:lang w:val="en-US"/>
        </w:rPr>
        <w:t xml:space="preserve">Best PhD Student Paper Award (paper co-authored with a PhD student, Caroline Roulet), </w:t>
      </w:r>
      <w:r>
        <w:rPr>
          <w:lang w:val="en-US"/>
        </w:rPr>
        <w:t>International Finance</w:t>
      </w:r>
      <w:r>
        <w:rPr>
          <w:lang w:val="en-GB"/>
        </w:rPr>
        <w:t xml:space="preserve"> </w:t>
      </w:r>
      <w:r>
        <w:rPr>
          <w:lang w:val="en-US"/>
        </w:rPr>
        <w:t>and Banking Society Conference</w:t>
      </w:r>
      <w:r>
        <w:rPr>
          <w:i/>
          <w:iCs/>
          <w:lang w:val="en-US"/>
        </w:rPr>
        <w:t xml:space="preserve">, Rome, </w:t>
      </w:r>
      <w:r>
        <w:rPr>
          <w:iCs/>
          <w:lang w:val="en-US"/>
        </w:rPr>
        <w:t>30 June-2 July 2011.</w:t>
      </w:r>
      <w:r>
        <w:rPr>
          <w:lang w:val="en-US"/>
        </w:rPr>
        <w:t xml:space="preserve"> • </w:t>
      </w:r>
      <w:r>
        <w:rPr>
          <w:bCs/>
          <w:lang w:val="en-US"/>
        </w:rPr>
        <w:t>European Central Bank, Workshop on Islamic Finance and Financial Stability, presented by co-author (Phil. Molyneux), 26 January 2012.</w:t>
      </w:r>
      <w:r>
        <w:rPr>
          <w:lang w:val="en-US"/>
        </w:rPr>
        <w:t xml:space="preserve"> • </w:t>
      </w:r>
      <w:r>
        <w:rPr>
          <w:bCs/>
          <w:lang w:val="en-US"/>
        </w:rPr>
        <w:t xml:space="preserve">Best paper award APBRC, </w:t>
      </w:r>
      <w:r>
        <w:rPr>
          <w:bCs/>
          <w:i/>
          <w:lang w:val="en-US"/>
        </w:rPr>
        <w:t>Kuala Lumpur</w:t>
      </w:r>
      <w:r>
        <w:rPr>
          <w:bCs/>
          <w:lang w:val="en-US"/>
        </w:rPr>
        <w:t xml:space="preserve">, 13-14 February 2012. </w:t>
      </w:r>
      <w:r>
        <w:rPr>
          <w:lang w:val="en-US"/>
        </w:rPr>
        <w:t xml:space="preserve"> • </w:t>
      </w:r>
      <w:r>
        <w:rPr>
          <w:bCs/>
          <w:lang w:val="en-GB"/>
        </w:rPr>
        <w:t xml:space="preserve">Keynote speaker, </w:t>
      </w:r>
      <w:r>
        <w:rPr>
          <w:lang w:val="en-GB"/>
        </w:rPr>
        <w:t xml:space="preserve">2nd International Conference on Finance, Bank and Development, </w:t>
      </w:r>
      <w:r>
        <w:rPr>
          <w:i/>
          <w:lang w:val="en-GB"/>
        </w:rPr>
        <w:t>Tunis</w:t>
      </w:r>
      <w:r>
        <w:rPr>
          <w:lang w:val="en-GB"/>
        </w:rPr>
        <w:t xml:space="preserve">, 11-12 April 2012. </w:t>
      </w:r>
      <w:r>
        <w:rPr>
          <w:lang w:val="en-US"/>
        </w:rPr>
        <w:t xml:space="preserve">• </w:t>
      </w:r>
      <w:r>
        <w:rPr>
          <w:bCs/>
          <w:lang w:val="en-US"/>
        </w:rPr>
        <w:t xml:space="preserve">Banco Central do Brazil, </w:t>
      </w:r>
      <w:r>
        <w:rPr>
          <w:iCs/>
          <w:lang w:val="en-US"/>
        </w:rPr>
        <w:t xml:space="preserve">VII Annual Seminar on Risk, Financial Stability and Banking, </w:t>
      </w:r>
      <w:r>
        <w:rPr>
          <w:i/>
          <w:iCs/>
          <w:lang w:val="en-US"/>
        </w:rPr>
        <w:t>Sao Paulo</w:t>
      </w:r>
      <w:r>
        <w:rPr>
          <w:iCs/>
          <w:lang w:val="en-US"/>
        </w:rPr>
        <w:t xml:space="preserve">, 9-10 August 2012. </w:t>
      </w:r>
      <w:r>
        <w:rPr>
          <w:lang w:val="en-US"/>
        </w:rPr>
        <w:t xml:space="preserve">• Finest Autumn workshop "Competing for survival in the banking industry", </w:t>
      </w:r>
      <w:r>
        <w:rPr>
          <w:i/>
          <w:lang w:val="en-US"/>
        </w:rPr>
        <w:t>Rome</w:t>
      </w:r>
      <w:r>
        <w:rPr>
          <w:lang w:val="en-US"/>
        </w:rPr>
        <w:t xml:space="preserve">, 19-20 November 2012. • Central Bank of Indonesia Conference on Financial Stability, presented by co-author, </w:t>
      </w:r>
      <w:r>
        <w:rPr>
          <w:i/>
          <w:lang w:val="en-US"/>
        </w:rPr>
        <w:t>Surabaya</w:t>
      </w:r>
      <w:r>
        <w:rPr>
          <w:lang w:val="en-US"/>
        </w:rPr>
        <w:t xml:space="preserve">, 23 November 2012. • Lead session in Banking, </w:t>
      </w:r>
      <w:r>
        <w:rPr>
          <w:bCs/>
          <w:lang w:val="en-US"/>
        </w:rPr>
        <w:t>25</w:t>
      </w:r>
      <w:r>
        <w:rPr>
          <w:bCs/>
          <w:vertAlign w:val="superscript"/>
          <w:lang w:val="en-US"/>
        </w:rPr>
        <w:t>th</w:t>
      </w:r>
      <w:r>
        <w:rPr>
          <w:bCs/>
          <w:lang w:val="en-US"/>
        </w:rPr>
        <w:t xml:space="preserve"> </w:t>
      </w:r>
      <w:r>
        <w:rPr>
          <w:lang w:val="en-US"/>
        </w:rPr>
        <w:t xml:space="preserve">AFBC, </w:t>
      </w:r>
      <w:r>
        <w:rPr>
          <w:i/>
          <w:lang w:val="en-US"/>
        </w:rPr>
        <w:t>Sydney</w:t>
      </w:r>
      <w:r>
        <w:rPr>
          <w:lang w:val="en-US"/>
        </w:rPr>
        <w:t xml:space="preserve">, 16-18 December 2012. • American Economic Association (AEA)/Association of financial Economists (AFE) meeting, </w:t>
      </w:r>
      <w:r>
        <w:rPr>
          <w:i/>
          <w:lang w:val="en-US"/>
        </w:rPr>
        <w:t xml:space="preserve">San Diego, </w:t>
      </w:r>
      <w:r>
        <w:rPr>
          <w:lang w:val="en-US"/>
        </w:rPr>
        <w:t xml:space="preserve">4-6 January 2013. • </w:t>
      </w:r>
      <w:r>
        <w:rPr>
          <w:bCs/>
          <w:lang w:val="en-US"/>
        </w:rPr>
        <w:t xml:space="preserve">Best paper in "Banking" award, 3rd APBRC, </w:t>
      </w:r>
      <w:r>
        <w:rPr>
          <w:bCs/>
          <w:i/>
          <w:lang w:val="en-US"/>
        </w:rPr>
        <w:t>Kuala Lumpur</w:t>
      </w:r>
      <w:r>
        <w:rPr>
          <w:bCs/>
          <w:lang w:val="en-US"/>
        </w:rPr>
        <w:t>, 25-26 February 2013.</w:t>
      </w:r>
      <w:r>
        <w:rPr>
          <w:lang w:val="en-US"/>
        </w:rPr>
        <w:t xml:space="preserve"> • International Conference on WTO &amp; Financial Engineering, Hangzhou, September 2013. • Invited speaker, Journal of Financial Stability "VIII annual conference on Risk, Financial Stability and Banking", </w:t>
      </w:r>
      <w:r>
        <w:rPr>
          <w:i/>
          <w:lang w:val="en-US"/>
        </w:rPr>
        <w:t>Bali</w:t>
      </w:r>
      <w:r>
        <w:rPr>
          <w:lang w:val="en-US"/>
        </w:rPr>
        <w:t xml:space="preserve">, 24-27 September 2013. • BankScope Prize for the best paper in Banking, </w:t>
      </w:r>
      <w:r>
        <w:rPr>
          <w:bCs/>
          <w:lang w:val="en-US"/>
        </w:rPr>
        <w:t>26</w:t>
      </w:r>
      <w:r>
        <w:rPr>
          <w:bCs/>
          <w:vertAlign w:val="superscript"/>
          <w:lang w:val="en-US"/>
        </w:rPr>
        <w:t>th</w:t>
      </w:r>
      <w:r>
        <w:rPr>
          <w:bCs/>
          <w:lang w:val="en-US"/>
        </w:rPr>
        <w:t xml:space="preserve"> AFBC, </w:t>
      </w:r>
      <w:r>
        <w:rPr>
          <w:bCs/>
          <w:i/>
          <w:lang w:val="en-US"/>
        </w:rPr>
        <w:t xml:space="preserve">Sydney, </w:t>
      </w:r>
      <w:r>
        <w:rPr>
          <w:bCs/>
          <w:lang w:val="en-US"/>
        </w:rPr>
        <w:t xml:space="preserve">17-19 December 2013. • Best paper in "Finance" award, </w:t>
      </w:r>
      <w:r>
        <w:rPr>
          <w:bCs/>
          <w:iCs/>
          <w:lang w:val="en-US"/>
        </w:rPr>
        <w:t xml:space="preserve">25th IBRC, </w:t>
      </w:r>
      <w:r>
        <w:rPr>
          <w:bCs/>
          <w:i/>
          <w:iCs/>
          <w:lang w:val="en-US"/>
        </w:rPr>
        <w:t>Cape Town</w:t>
      </w:r>
      <w:r>
        <w:rPr>
          <w:bCs/>
          <w:iCs/>
          <w:lang w:val="en-US"/>
        </w:rPr>
        <w:t>, 14-15 January 2014</w:t>
      </w:r>
      <w:r>
        <w:rPr>
          <w:bCs/>
          <w:lang w:val="en-US"/>
        </w:rPr>
        <w:t>. • Best paper Prize in "Risk Management, Banking, and Financial Services", 21</w:t>
      </w:r>
      <w:r>
        <w:rPr>
          <w:vertAlign w:val="superscript"/>
          <w:lang w:val="en-GB"/>
        </w:rPr>
        <w:t>st</w:t>
      </w:r>
      <w:r>
        <w:rPr>
          <w:bCs/>
          <w:lang w:val="en-US"/>
        </w:rPr>
        <w:t xml:space="preserve"> GFC, </w:t>
      </w:r>
      <w:r>
        <w:rPr>
          <w:bCs/>
          <w:i/>
          <w:lang w:val="en-US"/>
        </w:rPr>
        <w:t>Dubai</w:t>
      </w:r>
      <w:r>
        <w:rPr>
          <w:bCs/>
          <w:lang w:val="en-US"/>
        </w:rPr>
        <w:t xml:space="preserve">, 31 March-2 April 2014. •Invited speaker, Indonesian Finance Association 2015 Meeting, 14-15 January 2015, Solo. • Best paper in "Banking" award, 8th APBRC, </w:t>
      </w:r>
      <w:r>
        <w:rPr>
          <w:bCs/>
          <w:i/>
          <w:lang w:val="en-US"/>
        </w:rPr>
        <w:t>Kuala Lumpur</w:t>
      </w:r>
      <w:r>
        <w:rPr>
          <w:bCs/>
          <w:lang w:val="en-US"/>
        </w:rPr>
        <w:t xml:space="preserve">, 9-10 February 2015. • Invited speaker, Central Bank of Turkey (presented by co-author), </w:t>
      </w:r>
      <w:r>
        <w:rPr>
          <w:bCs/>
          <w:i/>
          <w:lang w:val="en-US"/>
        </w:rPr>
        <w:t>Istanbul</w:t>
      </w:r>
      <w:r>
        <w:rPr>
          <w:bCs/>
          <w:lang w:val="en-US"/>
        </w:rPr>
        <w:t xml:space="preserve">, September 2015. • Best paper award, 15th WBRC, </w:t>
      </w:r>
      <w:r>
        <w:rPr>
          <w:bCs/>
          <w:i/>
          <w:lang w:val="en-US"/>
        </w:rPr>
        <w:t>Tokyo</w:t>
      </w:r>
      <w:r>
        <w:rPr>
          <w:bCs/>
          <w:lang w:val="en-US"/>
        </w:rPr>
        <w:t xml:space="preserve">, 25-26 February 2016. • Invited speaker, "The Future </w:t>
      </w:r>
      <w:r>
        <w:rPr>
          <w:bCs/>
          <w:lang w:val="en-US"/>
        </w:rPr>
        <w:lastRenderedPageBreak/>
        <w:t xml:space="preserve">of Islamic Banking and Economics in Search of New Normal”, Central Bank of the Republic of Turkey Conference, </w:t>
      </w:r>
      <w:r>
        <w:rPr>
          <w:bCs/>
          <w:i/>
          <w:lang w:val="en-US"/>
        </w:rPr>
        <w:t>Istanbul</w:t>
      </w:r>
      <w:r>
        <w:rPr>
          <w:bCs/>
          <w:lang w:val="en-US"/>
        </w:rPr>
        <w:t xml:space="preserve">, 4-5 April 2016. • Best paper award, 3rd International Conference on Business, Economics and social sciences, </w:t>
      </w:r>
      <w:r>
        <w:rPr>
          <w:bCs/>
          <w:i/>
          <w:lang w:val="en-US"/>
        </w:rPr>
        <w:t>Solo</w:t>
      </w:r>
      <w:r>
        <w:rPr>
          <w:bCs/>
          <w:lang w:val="en-US"/>
        </w:rPr>
        <w:t xml:space="preserve">, 3-4 August 2016. • Bureau Van Dijk Prize for the best paper in Banking, 29th AFBC </w:t>
      </w:r>
      <w:r>
        <w:rPr>
          <w:bCs/>
          <w:i/>
          <w:lang w:val="en-US"/>
        </w:rPr>
        <w:t>Sydney</w:t>
      </w:r>
      <w:r>
        <w:rPr>
          <w:bCs/>
          <w:lang w:val="en-US"/>
        </w:rPr>
        <w:t xml:space="preserve">, 14-16 December 2016. • Keynote speaker, 4th SMICBES conference, </w:t>
      </w:r>
      <w:r>
        <w:rPr>
          <w:bCs/>
          <w:i/>
          <w:lang w:val="en-US"/>
        </w:rPr>
        <w:t>Solo</w:t>
      </w:r>
      <w:r>
        <w:rPr>
          <w:bCs/>
          <w:lang w:val="en-US"/>
        </w:rPr>
        <w:t xml:space="preserve">, 9-10 August 2017. • Bureau Van Dijk Prize for the best paper in Banking, 30th AFBC </w:t>
      </w:r>
      <w:r>
        <w:rPr>
          <w:bCs/>
          <w:i/>
          <w:lang w:val="en-US"/>
        </w:rPr>
        <w:t>Sydney</w:t>
      </w:r>
      <w:r>
        <w:rPr>
          <w:bCs/>
          <w:lang w:val="en-US"/>
        </w:rPr>
        <w:t xml:space="preserve">, 13-15 December 2017. • Invited speaker, </w:t>
      </w:r>
      <w:r>
        <w:rPr>
          <w:bCs/>
          <w:iCs/>
          <w:lang w:val="en-US"/>
        </w:rPr>
        <w:t xml:space="preserve">2nd International Conference on Finance, Banking, and Financial Stability (SMARTFAB), </w:t>
      </w:r>
      <w:r>
        <w:rPr>
          <w:bCs/>
          <w:i/>
          <w:iCs/>
          <w:lang w:val="en-US"/>
        </w:rPr>
        <w:t>Bali</w:t>
      </w:r>
      <w:r>
        <w:rPr>
          <w:bCs/>
          <w:iCs/>
          <w:lang w:val="en-US"/>
        </w:rPr>
        <w:t xml:space="preserve">, 17-19 July 2018. • Invited speaker, 4th SEABC Conference, </w:t>
      </w:r>
      <w:r>
        <w:rPr>
          <w:bCs/>
          <w:i/>
          <w:iCs/>
          <w:lang w:val="en-US"/>
        </w:rPr>
        <w:t>Palembang</w:t>
      </w:r>
      <w:r>
        <w:rPr>
          <w:bCs/>
          <w:iCs/>
          <w:lang w:val="en-US"/>
        </w:rPr>
        <w:t xml:space="preserve">, 8-9 November 2018. • Invited panel speaker, 4th Annual Chapman Conference on Money and Finance : Liquidity: Pricing, Management and Financial Stability, </w:t>
      </w:r>
      <w:r>
        <w:rPr>
          <w:bCs/>
          <w:i/>
          <w:iCs/>
          <w:lang w:val="en-US"/>
        </w:rPr>
        <w:t>Orange, California</w:t>
      </w:r>
      <w:r>
        <w:rPr>
          <w:bCs/>
          <w:iCs/>
          <w:lang w:val="en-US"/>
        </w:rPr>
        <w:t xml:space="preserve">, 6-7 September 2019. </w:t>
      </w:r>
      <w:r>
        <w:rPr>
          <w:lang w:val="en-US"/>
        </w:rPr>
        <w:t>• Best paper award, 4</w:t>
      </w:r>
      <w:r>
        <w:rPr>
          <w:vertAlign w:val="superscript"/>
          <w:lang w:val="en-US"/>
        </w:rPr>
        <w:t xml:space="preserve">th </w:t>
      </w:r>
      <w:r>
        <w:rPr>
          <w:bCs/>
          <w:lang w:val="en-US"/>
        </w:rPr>
        <w:t xml:space="preserve">IFBBE conference, </w:t>
      </w:r>
      <w:r>
        <w:rPr>
          <w:bCs/>
          <w:i/>
          <w:lang w:val="en-US"/>
        </w:rPr>
        <w:t>Valencia</w:t>
      </w:r>
      <w:r>
        <w:rPr>
          <w:bCs/>
          <w:lang w:val="en-US"/>
        </w:rPr>
        <w:t xml:space="preserve">, 16-17 September 2019. </w:t>
      </w:r>
      <w:r>
        <w:rPr>
          <w:bCs/>
          <w:iCs/>
          <w:lang w:val="en-US"/>
        </w:rPr>
        <w:t xml:space="preserve">• Keynote speaker, 29th EBES Conference, </w:t>
      </w:r>
      <w:r>
        <w:rPr>
          <w:bCs/>
          <w:i/>
          <w:iCs/>
          <w:lang w:val="en-US"/>
        </w:rPr>
        <w:t>Lisbon,</w:t>
      </w:r>
      <w:r>
        <w:rPr>
          <w:bCs/>
          <w:iCs/>
          <w:lang w:val="en-US"/>
        </w:rPr>
        <w:br/>
        <w:t xml:space="preserve">10-12 October 2019. • Invited speaker, International Webinar Global Economy and Financial Sector Post Covid-19, July 6, 2020. • Keynote speaker, Indonesian Deposit Insurance Corporation Research Fair 2020, </w:t>
      </w:r>
      <w:r>
        <w:rPr>
          <w:bCs/>
          <w:i/>
          <w:iCs/>
          <w:lang w:val="en-US"/>
        </w:rPr>
        <w:t>Jakarta</w:t>
      </w:r>
      <w:r>
        <w:rPr>
          <w:bCs/>
          <w:iCs/>
          <w:lang w:val="en-US"/>
        </w:rPr>
        <w:t xml:space="preserve"> (online), September 18, 2020. • Keynote speaker, 30th EBES Conference, </w:t>
      </w:r>
      <w:r>
        <w:rPr>
          <w:bCs/>
          <w:i/>
          <w:iCs/>
          <w:lang w:val="en-US"/>
        </w:rPr>
        <w:t>Madrid</w:t>
      </w:r>
      <w:r>
        <w:rPr>
          <w:bCs/>
          <w:iCs/>
          <w:lang w:val="en-US"/>
        </w:rPr>
        <w:t xml:space="preserve"> (online)</w:t>
      </w:r>
      <w:r>
        <w:rPr>
          <w:bCs/>
          <w:i/>
          <w:iCs/>
          <w:lang w:val="en-US"/>
        </w:rPr>
        <w:t>,</w:t>
      </w:r>
      <w:r>
        <w:rPr>
          <w:bCs/>
          <w:iCs/>
          <w:lang w:val="en-US"/>
        </w:rPr>
        <w:t xml:space="preserve"> 7 October 2020. • « Accelerating UNS international reputation and global rankings », 3 December 2020 (Non-Research/online). • Bureau Van Dijk, A Moody’s Analytics Company Prize for the best paper in Banking, 34th AFBC </w:t>
      </w:r>
      <w:r>
        <w:rPr>
          <w:bCs/>
          <w:i/>
          <w:iCs/>
          <w:lang w:val="en-US"/>
        </w:rPr>
        <w:t>Sydney</w:t>
      </w:r>
      <w:r>
        <w:rPr>
          <w:bCs/>
          <w:iCs/>
          <w:lang w:val="en-US"/>
        </w:rPr>
        <w:t xml:space="preserve">, 15-17 December 2021. • Keynote speaker, IFBBE Conference, </w:t>
      </w:r>
      <w:r>
        <w:rPr>
          <w:bCs/>
          <w:i/>
          <w:iCs/>
          <w:lang w:val="en-US"/>
        </w:rPr>
        <w:t>Kuala Lumpur,</w:t>
      </w:r>
      <w:r>
        <w:rPr>
          <w:bCs/>
          <w:iCs/>
          <w:lang w:val="en-US"/>
        </w:rPr>
        <w:t xml:space="preserve"> 5-6 September 2022. • Invited Speaker, </w:t>
      </w:r>
      <w:r>
        <w:rPr>
          <w:lang w:val="en-US"/>
        </w:rPr>
        <w:t>100</w:t>
      </w:r>
      <w:r>
        <w:rPr>
          <w:vertAlign w:val="superscript"/>
          <w:lang w:val="en-US"/>
        </w:rPr>
        <w:t>th</w:t>
      </w:r>
      <w:r>
        <w:rPr>
          <w:lang w:val="en-US"/>
        </w:rPr>
        <w:t xml:space="preserve"> anniversary of the Izmir Economic Congress, Ministry of Treasury and Finance, </w:t>
      </w:r>
      <w:r>
        <w:rPr>
          <w:i/>
          <w:lang w:val="en-US"/>
        </w:rPr>
        <w:t>Izmir</w:t>
      </w:r>
      <w:r>
        <w:rPr>
          <w:lang w:val="en-US"/>
        </w:rPr>
        <w:t xml:space="preserve">, 17-19 February 2023. </w:t>
      </w:r>
      <w:r>
        <w:rPr>
          <w:bCs/>
          <w:iCs/>
          <w:lang w:val="en-US"/>
        </w:rPr>
        <w:t xml:space="preserve">• </w:t>
      </w:r>
      <w:r>
        <w:rPr>
          <w:lang w:val="en-US"/>
        </w:rPr>
        <w:t xml:space="preserve">Invited Distinguished Speaker, </w:t>
      </w:r>
      <w:r>
        <w:rPr>
          <w:bCs/>
          <w:lang w:val="en-US"/>
        </w:rPr>
        <w:t xml:space="preserve">17th Bulletin of Monetary Economics and Banking (BMEB) International Conference, Central Bank of Indonesia, </w:t>
      </w:r>
      <w:r>
        <w:rPr>
          <w:bCs/>
          <w:i/>
          <w:lang w:val="en-US"/>
        </w:rPr>
        <w:t>Bengkulu</w:t>
      </w:r>
      <w:r>
        <w:rPr>
          <w:bCs/>
          <w:lang w:val="en-US"/>
        </w:rPr>
        <w:t xml:space="preserve">, 16 September 2023. </w:t>
      </w:r>
      <w:r>
        <w:rPr>
          <w:bCs/>
          <w:iCs/>
          <w:lang w:val="en-US"/>
        </w:rPr>
        <w:t xml:space="preserve">• Bureau Van Dijk Prize for the best paper in Banking, 36th AFBC </w:t>
      </w:r>
      <w:r>
        <w:rPr>
          <w:bCs/>
          <w:i/>
          <w:iCs/>
          <w:lang w:val="en-US"/>
        </w:rPr>
        <w:t>Sydney</w:t>
      </w:r>
      <w:r>
        <w:rPr>
          <w:bCs/>
          <w:iCs/>
          <w:lang w:val="en-US"/>
        </w:rPr>
        <w:t>, 13-15 December 2023. • Best Paper Award, 2</w:t>
      </w:r>
      <w:r>
        <w:rPr>
          <w:bCs/>
          <w:iCs/>
          <w:vertAlign w:val="superscript"/>
          <w:lang w:val="en-US"/>
        </w:rPr>
        <w:t>nd</w:t>
      </w:r>
      <w:r>
        <w:rPr>
          <w:bCs/>
          <w:iCs/>
          <w:lang w:val="en-US"/>
        </w:rPr>
        <w:t xml:space="preserve"> Annual Meeting of the International Society for the Advancement of Financial Economics, </w:t>
      </w:r>
      <w:r>
        <w:rPr>
          <w:bCs/>
          <w:i/>
          <w:lang w:val="en-US"/>
        </w:rPr>
        <w:t>Thailand</w:t>
      </w:r>
      <w:r>
        <w:rPr>
          <w:bCs/>
          <w:iCs/>
          <w:lang w:val="en-US"/>
        </w:rPr>
        <w:t xml:space="preserve">, 8-10 July 2024. • Bureau Van Dijk Prize for the best paper in Banking, 37th AFBC </w:t>
      </w:r>
      <w:r>
        <w:rPr>
          <w:bCs/>
          <w:i/>
          <w:iCs/>
          <w:lang w:val="en-US"/>
        </w:rPr>
        <w:t>Sydney</w:t>
      </w:r>
      <w:r>
        <w:rPr>
          <w:bCs/>
          <w:iCs/>
          <w:lang w:val="en-US"/>
        </w:rPr>
        <w:t xml:space="preserve">, 10-13 December 2024. • Best paper award in Banking, VSBF 2025, </w:t>
      </w:r>
      <w:r>
        <w:rPr>
          <w:bCs/>
          <w:i/>
          <w:iCs/>
          <w:lang w:val="en-US"/>
        </w:rPr>
        <w:t>Hanoi</w:t>
      </w:r>
      <w:r>
        <w:rPr>
          <w:bCs/>
          <w:iCs/>
          <w:lang w:val="en-US"/>
        </w:rPr>
        <w:t xml:space="preserve">, 23-25 October 2025. • Keynote speaker, 54th EBES Conference, </w:t>
      </w:r>
      <w:r>
        <w:rPr>
          <w:bCs/>
          <w:i/>
          <w:iCs/>
          <w:lang w:val="en-US"/>
        </w:rPr>
        <w:t>Paris,</w:t>
      </w:r>
      <w:r>
        <w:rPr>
          <w:bCs/>
          <w:iCs/>
          <w:lang w:val="en-US"/>
        </w:rPr>
        <w:t xml:space="preserve"> 8-10 January 2026. </w:t>
      </w:r>
      <w:r w:rsidR="00E95DE4">
        <w:rPr>
          <w:bCs/>
          <w:iCs/>
          <w:lang w:val="en-US"/>
        </w:rPr>
        <w:t>•</w:t>
      </w:r>
      <w:r w:rsidR="00E95DE4">
        <w:rPr>
          <w:bCs/>
          <w:iCs/>
          <w:lang w:val="en-US"/>
        </w:rPr>
        <w:t xml:space="preserve"> </w:t>
      </w:r>
      <w:r w:rsidR="00E95DE4" w:rsidRPr="00E95DE4">
        <w:rPr>
          <w:bCs/>
          <w:iCs/>
          <w:lang w:val="en-US"/>
        </w:rPr>
        <w:t>Invited Distinguished Speaker</w:t>
      </w:r>
      <w:r w:rsidR="0065378F">
        <w:rPr>
          <w:bCs/>
          <w:iCs/>
          <w:lang w:val="en-US"/>
        </w:rPr>
        <w:t>,</w:t>
      </w:r>
      <w:r w:rsidR="00E95DE4" w:rsidRPr="00E95DE4">
        <w:rPr>
          <w:bCs/>
          <w:iCs/>
          <w:lang w:val="en-US"/>
        </w:rPr>
        <w:t xml:space="preserve"> </w:t>
      </w:r>
      <w:r w:rsidR="00E95DE4" w:rsidRPr="00E95DE4">
        <w:rPr>
          <w:bCs/>
          <w:iCs/>
          <w:lang w:val="en-US"/>
        </w:rPr>
        <w:t>1</w:t>
      </w:r>
      <w:r w:rsidR="00E95DE4" w:rsidRPr="00E95DE4">
        <w:rPr>
          <w:bCs/>
          <w:iCs/>
          <w:vertAlign w:val="superscript"/>
          <w:lang w:val="en-US"/>
        </w:rPr>
        <w:t>st</w:t>
      </w:r>
      <w:r w:rsidR="00E95DE4" w:rsidRPr="00E95DE4">
        <w:rPr>
          <w:bCs/>
          <w:iCs/>
          <w:lang w:val="en-US"/>
        </w:rPr>
        <w:t xml:space="preserve"> Biennial Policy Conference (BPC) 2026</w:t>
      </w:r>
      <w:r w:rsidR="00E95DE4" w:rsidRPr="00E95DE4">
        <w:rPr>
          <w:bCs/>
          <w:iCs/>
          <w:lang w:val="en-US"/>
        </w:rPr>
        <w:t xml:space="preserve">, Asia-Pacific Central Bank Conference, </w:t>
      </w:r>
      <w:r w:rsidR="00E95DE4" w:rsidRPr="00E95DE4">
        <w:rPr>
          <w:bCs/>
          <w:i/>
          <w:lang w:val="en-US"/>
        </w:rPr>
        <w:t>Denpasar</w:t>
      </w:r>
      <w:r w:rsidR="00E95DE4" w:rsidRPr="00E95DE4">
        <w:rPr>
          <w:bCs/>
          <w:iCs/>
          <w:lang w:val="en-US"/>
        </w:rPr>
        <w:t>, 27-27 August, 2026</w:t>
      </w:r>
      <w:r w:rsidR="0065378F">
        <w:rPr>
          <w:bCs/>
          <w:iCs/>
          <w:lang w:val="en-US"/>
        </w:rPr>
        <w:t>.</w:t>
      </w:r>
      <w:r w:rsidR="00E95DE4">
        <w:rPr>
          <w:b/>
          <w:bCs/>
          <w:iCs/>
          <w:lang w:val="en-US"/>
        </w:rPr>
        <w:t xml:space="preserve"> </w:t>
      </w:r>
      <w:r>
        <w:rPr>
          <w:bCs/>
          <w:iCs/>
          <w:lang w:val="en-US"/>
        </w:rPr>
        <w:t xml:space="preserve">• Keynote speaker, </w:t>
      </w:r>
      <w:r>
        <w:rPr>
          <w:iCs/>
          <w:lang w:val="en-US"/>
        </w:rPr>
        <w:t xml:space="preserve">2026 International Conference on Green Finance, Technological Innovation &amp; Global Governance, </w:t>
      </w:r>
      <w:r>
        <w:rPr>
          <w:bCs/>
          <w:i/>
          <w:iCs/>
          <w:lang w:val="en-US"/>
        </w:rPr>
        <w:t>Shanghai,</w:t>
      </w:r>
      <w:r>
        <w:rPr>
          <w:bCs/>
          <w:iCs/>
          <w:lang w:val="en-US"/>
        </w:rPr>
        <w:t xml:space="preserve"> 29-30 August 2026. • Keynote speaker, </w:t>
      </w:r>
      <w:r>
        <w:rPr>
          <w:bCs/>
          <w:lang w:val="en-US"/>
        </w:rPr>
        <w:t>The 2026 Sydney Banking and Financial Stability Conference (SBFC2026),</w:t>
      </w:r>
      <w:r>
        <w:rPr>
          <w:iCs/>
          <w:lang w:val="en-US"/>
        </w:rPr>
        <w:t xml:space="preserve"> </w:t>
      </w:r>
      <w:r>
        <w:rPr>
          <w:bCs/>
          <w:i/>
          <w:iCs/>
          <w:lang w:val="en-US"/>
        </w:rPr>
        <w:t>Sydney,</w:t>
      </w:r>
      <w:r>
        <w:rPr>
          <w:bCs/>
          <w:iCs/>
          <w:lang w:val="en-US"/>
        </w:rPr>
        <w:t xml:space="preserve"> 30 November- 1 December 2026.</w:t>
      </w:r>
    </w:p>
    <w:p w:rsidR="00CD1986" w:rsidRPr="00CD1986" w:rsidRDefault="00CD1986" w:rsidP="00CD1986">
      <w:pPr>
        <w:rPr>
          <w:lang w:val="en-US"/>
        </w:rPr>
      </w:pPr>
    </w:p>
    <w:p w:rsidR="000149E8" w:rsidRPr="003E65B3" w:rsidRDefault="000149E8" w:rsidP="00441124">
      <w:pPr>
        <w:jc w:val="both"/>
        <w:rPr>
          <w:b/>
          <w:u w:val="single"/>
          <w:lang w:val="en-US"/>
        </w:rPr>
      </w:pPr>
    </w:p>
    <w:p w:rsidR="00BA0A19" w:rsidRPr="002839EC" w:rsidRDefault="00BA0A19" w:rsidP="00BA0A19">
      <w:pPr>
        <w:ind w:hanging="426"/>
        <w:jc w:val="both"/>
        <w:rPr>
          <w:b/>
        </w:rPr>
      </w:pPr>
      <w:r>
        <w:rPr>
          <w:b/>
          <w:u w:val="single"/>
        </w:rPr>
        <w:t>Expertises pour  agences de la recherche (France et étranger)</w:t>
      </w:r>
      <w:r>
        <w:rPr>
          <w:b/>
          <w:sz w:val="28"/>
          <w:szCs w:val="28"/>
        </w:rPr>
        <w:t xml:space="preserve"> </w:t>
      </w:r>
      <w:r>
        <w:t>:</w:t>
      </w:r>
      <w:r>
        <w:rPr>
          <w:b/>
        </w:rPr>
        <w:t xml:space="preserve"> </w:t>
      </w:r>
    </w:p>
    <w:p w:rsidR="00BA0A19" w:rsidRPr="002839EC" w:rsidRDefault="00BA0A19" w:rsidP="00BA0A19">
      <w:pPr>
        <w:ind w:hanging="426"/>
        <w:jc w:val="both"/>
      </w:pPr>
      <w:r>
        <w:rPr>
          <w:b/>
        </w:rPr>
        <w:tab/>
      </w:r>
      <w:r>
        <w:t xml:space="preserve">•ANR (Agence Nationale de la Recherche; France) </w:t>
      </w:r>
    </w:p>
    <w:p w:rsidR="00BA0A19" w:rsidRDefault="00BA0A19" w:rsidP="00BA0A19">
      <w:pPr>
        <w:ind w:hanging="426"/>
        <w:jc w:val="both"/>
      </w:pPr>
      <w:r>
        <w:tab/>
        <w:t xml:space="preserve">•ANRT (Association Nationale de la Recherche et de la Technologie; France) </w:t>
      </w:r>
    </w:p>
    <w:p w:rsidR="00BA0A19" w:rsidRDefault="00BA0A19" w:rsidP="00BA0A19">
      <w:pPr>
        <w:ind w:hanging="426"/>
        <w:jc w:val="both"/>
      </w:pPr>
      <w:r>
        <w:tab/>
        <w:t xml:space="preserve">•CRSH (Conseil de la Recherche en Sciences Humaines du Canada) </w:t>
      </w:r>
    </w:p>
    <w:p w:rsidR="00BA0A19" w:rsidRDefault="00BA0A19" w:rsidP="00BA0A19">
      <w:pPr>
        <w:ind w:hanging="426"/>
        <w:jc w:val="both"/>
      </w:pPr>
      <w:r>
        <w:tab/>
        <w:t xml:space="preserve">•FNRL (Fonds National de la Recherche Luxembourg) </w:t>
      </w:r>
    </w:p>
    <w:p w:rsidR="00BA0A19" w:rsidRPr="00EA5C49" w:rsidRDefault="00BA0A19" w:rsidP="00BA0A19">
      <w:pPr>
        <w:ind w:hanging="426"/>
        <w:jc w:val="both"/>
        <w:rPr>
          <w:lang w:val="en-US"/>
        </w:rPr>
      </w:pPr>
      <w:r>
        <w:tab/>
      </w:r>
      <w:r>
        <w:rPr>
          <w:lang w:val="en-US"/>
        </w:rPr>
        <w:t xml:space="preserve">•ESF (European Science Foundation) </w:t>
      </w:r>
    </w:p>
    <w:p w:rsidR="005F5A91" w:rsidRPr="00EA5C49" w:rsidRDefault="005F5A91" w:rsidP="00BA0A19">
      <w:pPr>
        <w:ind w:hanging="426"/>
        <w:jc w:val="both"/>
        <w:rPr>
          <w:lang w:val="en-US"/>
        </w:rPr>
      </w:pPr>
      <w:r>
        <w:rPr>
          <w:lang w:val="en-US"/>
        </w:rPr>
        <w:tab/>
        <w:t>•British Academy</w:t>
      </w:r>
    </w:p>
    <w:p w:rsidR="00F13108" w:rsidRPr="00EA5C49" w:rsidRDefault="00F13108" w:rsidP="00F13108">
      <w:pPr>
        <w:ind w:hanging="426"/>
        <w:jc w:val="both"/>
        <w:rPr>
          <w:lang w:val="en-US"/>
        </w:rPr>
      </w:pPr>
      <w:r>
        <w:rPr>
          <w:lang w:val="en-US"/>
        </w:rPr>
        <w:tab/>
        <w:t>•ANVUR (Italian Research and University Evaluation Agency)</w:t>
      </w:r>
    </w:p>
    <w:p w:rsidR="00302F8A" w:rsidRPr="00EA5C49" w:rsidRDefault="00302F8A" w:rsidP="00F13108">
      <w:pPr>
        <w:ind w:hanging="426"/>
        <w:jc w:val="both"/>
        <w:rPr>
          <w:lang w:val="en-US"/>
        </w:rPr>
      </w:pPr>
      <w:r>
        <w:rPr>
          <w:lang w:val="en-US"/>
        </w:rPr>
        <w:tab/>
        <w:t xml:space="preserve">•FWO (Research Foundation Flanders) </w:t>
      </w:r>
    </w:p>
    <w:p w:rsidR="000E23B1" w:rsidRPr="00EA5C49" w:rsidRDefault="000E23B1" w:rsidP="00F13108">
      <w:pPr>
        <w:ind w:hanging="426"/>
        <w:jc w:val="both"/>
        <w:rPr>
          <w:lang w:val="en-US"/>
        </w:rPr>
      </w:pPr>
      <w:r>
        <w:rPr>
          <w:lang w:val="en-US"/>
        </w:rPr>
        <w:tab/>
        <w:t>•NCN (Executive Government Agency of National Science Centre, Poland)</w:t>
      </w:r>
    </w:p>
    <w:p w:rsidR="00D72CB6" w:rsidRPr="00EA5C49" w:rsidRDefault="008276FC" w:rsidP="00F13108">
      <w:pPr>
        <w:ind w:hanging="426"/>
        <w:jc w:val="both"/>
        <w:rPr>
          <w:lang w:val="en-US"/>
        </w:rPr>
      </w:pPr>
      <w:r>
        <w:rPr>
          <w:lang w:val="en-US"/>
        </w:rPr>
        <w:tab/>
        <w:t>•QNRF (Qatar National Research Fund)</w:t>
      </w:r>
    </w:p>
    <w:p w:rsidR="000C12DC" w:rsidRDefault="00D72CB6" w:rsidP="00F13108">
      <w:pPr>
        <w:ind w:hanging="426"/>
        <w:jc w:val="both"/>
        <w:rPr>
          <w:lang w:val="en-US"/>
        </w:rPr>
      </w:pPr>
      <w:r>
        <w:rPr>
          <w:lang w:val="en-US"/>
        </w:rPr>
        <w:tab/>
        <w:t>•COST (European Cooperation in Science and Technology)</w:t>
      </w:r>
    </w:p>
    <w:p w:rsidR="000C12DC" w:rsidRDefault="000C12DC" w:rsidP="000C12DC">
      <w:r>
        <w:t>•PSL (Paris Sciences et Lettres) Research Grants</w:t>
      </w:r>
    </w:p>
    <w:p w:rsidR="00F034FC" w:rsidRPr="002528F1" w:rsidRDefault="00F034FC" w:rsidP="00F034FC">
      <w:pPr>
        <w:rPr>
          <w:lang w:val="en-US"/>
        </w:rPr>
      </w:pPr>
      <w:r>
        <w:rPr>
          <w:lang w:val="en-US"/>
        </w:rPr>
        <w:t xml:space="preserve">•European Commission (ERC </w:t>
      </w:r>
      <w:r w:rsidR="003C7D25">
        <w:rPr>
          <w:lang w:val="en-US"/>
        </w:rPr>
        <w:t xml:space="preserve">grant </w:t>
      </w:r>
      <w:r>
        <w:rPr>
          <w:lang w:val="en-US"/>
        </w:rPr>
        <w:t>selection panel member)</w:t>
      </w:r>
    </w:p>
    <w:p w:rsidR="000C12DC" w:rsidRPr="00F034FC" w:rsidRDefault="000C12DC" w:rsidP="00F034FC">
      <w:pPr>
        <w:jc w:val="both"/>
        <w:rPr>
          <w:lang w:val="en-US"/>
        </w:rPr>
      </w:pPr>
    </w:p>
    <w:p w:rsidR="00584DC1" w:rsidRPr="00F034FC" w:rsidRDefault="00584DC1" w:rsidP="00BA0A19">
      <w:pPr>
        <w:ind w:hanging="426"/>
        <w:jc w:val="both"/>
        <w:rPr>
          <w:lang w:val="en-US"/>
        </w:rPr>
      </w:pPr>
    </w:p>
    <w:p w:rsidR="00BA0A19" w:rsidRDefault="00BA0A19" w:rsidP="00BA0A19">
      <w:pPr>
        <w:ind w:hanging="426"/>
        <w:jc w:val="both"/>
      </w:pPr>
      <w:r>
        <w:rPr>
          <w:b/>
          <w:u w:val="single"/>
        </w:rPr>
        <w:t>Expertises pour établissements français et étrangers et maisons d'édition</w:t>
      </w:r>
      <w:r>
        <w:t xml:space="preserve">: </w:t>
      </w:r>
    </w:p>
    <w:p w:rsidR="000B0C52" w:rsidRDefault="00BA0A19" w:rsidP="00BA0A19">
      <w:pPr>
        <w:ind w:hanging="426"/>
        <w:jc w:val="both"/>
      </w:pPr>
      <w:r>
        <w:tab/>
        <w:t xml:space="preserve">•rédaction de 83 rapports de pré-soutenance de thèse/HDR et participation aux jurys en France et à l’étranger (en plus des jurys de mes propres doctorants); </w:t>
      </w:r>
    </w:p>
    <w:p w:rsidR="008A4E9A" w:rsidRDefault="000B0C52" w:rsidP="006231E7">
      <w:pPr>
        <w:ind w:hanging="426"/>
        <w:jc w:val="both"/>
      </w:pPr>
      <w:r>
        <w:lastRenderedPageBreak/>
        <w:tab/>
        <w:t xml:space="preserve">•rapports pour des maisons d'éditions étrangères (Routledge, Academic Press, Elsevier....); •rapports pour recrutement et promotion d’enseignants-chercheurs auprès d’universités étrangères; </w:t>
      </w:r>
    </w:p>
    <w:p w:rsidR="008A4E9A" w:rsidRDefault="008A4E9A" w:rsidP="006231E7">
      <w:pPr>
        <w:ind w:hanging="426"/>
        <w:jc w:val="both"/>
      </w:pPr>
      <w:r>
        <w:tab/>
        <w:t xml:space="preserve">•membre de comités d’accréditation de diplômes de Master à l’étranger (Dublin City University en 2023…) ; </w:t>
      </w:r>
    </w:p>
    <w:p w:rsidR="006231E7" w:rsidRDefault="008A4E9A" w:rsidP="006231E7">
      <w:pPr>
        <w:ind w:hanging="426"/>
        <w:jc w:val="both"/>
      </w:pPr>
      <w:r>
        <w:tab/>
        <w:t>•membre de la commission de spécialistes (5</w:t>
      </w:r>
      <w:r>
        <w:rPr>
          <w:vertAlign w:val="superscript"/>
        </w:rPr>
        <w:t>ème</w:t>
      </w:r>
      <w:r>
        <w:t xml:space="preserve"> section) de l'Université de Limoges de 1994 à 2008, de l'Université de Poitiers de 1998 à 2008, de l'Université de la Réunion de 1998 à 2004, de l’Université de Bordeaux IV de 2005 à 2008, puis par la suite de divers comités de sélection en France et à l’étranger ;</w:t>
      </w:r>
    </w:p>
    <w:p w:rsidR="00BA0A19" w:rsidRPr="00BA0A19" w:rsidRDefault="006231E7" w:rsidP="006231E7">
      <w:pPr>
        <w:jc w:val="both"/>
      </w:pPr>
      <w:r>
        <w:t xml:space="preserve"> •président de jury de concours de recrutement d’ingénieurs de recherche en 2007 et en 2008. </w:t>
      </w:r>
    </w:p>
    <w:p w:rsidR="00C46D3E" w:rsidRPr="00247E20" w:rsidRDefault="00C46D3E" w:rsidP="00441124">
      <w:pPr>
        <w:jc w:val="both"/>
        <w:rPr>
          <w:b/>
          <w:u w:val="single"/>
        </w:rPr>
      </w:pPr>
    </w:p>
    <w:p w:rsidR="000D2965" w:rsidRPr="00EA5C49" w:rsidRDefault="00BA0A19" w:rsidP="00BA0A19">
      <w:pPr>
        <w:ind w:hanging="426"/>
        <w:jc w:val="both"/>
        <w:rPr>
          <w:b/>
          <w:u w:val="single"/>
          <w:lang w:val="en-US"/>
        </w:rPr>
      </w:pPr>
      <w:r>
        <w:rPr>
          <w:b/>
          <w:u w:val="single"/>
          <w:lang w:val="en-US"/>
        </w:rPr>
        <w:t>Rapports pour revues scientifiques</w:t>
      </w:r>
    </w:p>
    <w:p w:rsidR="00BA0A19" w:rsidRPr="00EA5C49" w:rsidRDefault="00BA0A19" w:rsidP="00BA0A19">
      <w:pPr>
        <w:ind w:hanging="426"/>
        <w:jc w:val="both"/>
        <w:rPr>
          <w:lang w:val="en-US"/>
        </w:rPr>
      </w:pPr>
      <w:r>
        <w:rPr>
          <w:lang w:val="en-US"/>
        </w:rPr>
        <w:t xml:space="preserve"> 230 rapports : Management Science, Journal of Money Credit and Banking, Review of Finance, Journal of Banking and Finance, Journal of Financial Services Research, Review of Financial Economics, Journal of Financial Stability, Economic Inquiry, Economic Modelling, Comparative Economic Studies, Journal of Economics and Business, International Review of Financial Analysis, Applied Economics, Computers and Operations Research, Emerging Markets Finance and Trade, Revue d’Economie Politique, Revue Economique, Revue Française d’Economie, Economie appliquée, Revue d’Economie Industrielle, International Economics, Brussels Economic Review, Banks and Bank Systems, Journal of International Financial Management and Accounting, Ventura, Journal of Economics, Business, and Accountancy, Global Journal of Economics and Finance, Global Journal of Business, Management and Accounting, Research in International Business and Finance, British Accounting Review, Borsa Istanbul Review, Economic Systems, Global Finance Journal</w:t>
      </w:r>
      <w:r>
        <w:rPr>
          <w:lang w:val="en-GB"/>
        </w:rPr>
        <w:t>…</w:t>
      </w:r>
    </w:p>
    <w:p w:rsidR="00284C22" w:rsidRPr="00EA5C49" w:rsidRDefault="00284C22" w:rsidP="000B0C52">
      <w:pPr>
        <w:tabs>
          <w:tab w:val="left" w:pos="1701"/>
          <w:tab w:val="left" w:pos="1927"/>
        </w:tabs>
        <w:ind w:hanging="426"/>
        <w:outlineLvl w:val="0"/>
        <w:rPr>
          <w:b/>
          <w:bCs/>
          <w:u w:val="single"/>
          <w:lang w:val="en-US"/>
        </w:rPr>
      </w:pPr>
    </w:p>
    <w:p w:rsidR="00172456" w:rsidRPr="00EA5C49" w:rsidRDefault="00172456" w:rsidP="00FB7C06">
      <w:pPr>
        <w:tabs>
          <w:tab w:val="left" w:pos="1701"/>
          <w:tab w:val="left" w:pos="1927"/>
        </w:tabs>
        <w:outlineLvl w:val="0"/>
        <w:rPr>
          <w:b/>
          <w:bCs/>
          <w:u w:val="single"/>
          <w:lang w:val="en-US"/>
        </w:rPr>
      </w:pPr>
    </w:p>
    <w:p w:rsidR="000B0C52" w:rsidRPr="000B0C52" w:rsidRDefault="000B0C52" w:rsidP="000B0C52">
      <w:pPr>
        <w:tabs>
          <w:tab w:val="left" w:pos="1701"/>
          <w:tab w:val="left" w:pos="1927"/>
        </w:tabs>
        <w:ind w:hanging="426"/>
        <w:outlineLvl w:val="0"/>
        <w:rPr>
          <w:u w:val="single"/>
        </w:rPr>
      </w:pPr>
      <w:r>
        <w:rPr>
          <w:b/>
          <w:bCs/>
          <w:u w:val="single"/>
        </w:rPr>
        <w:t xml:space="preserve">Contrats de recherche et programmes internationaux </w:t>
      </w:r>
    </w:p>
    <w:p w:rsidR="000B0C52" w:rsidRPr="000B0C52" w:rsidRDefault="000B0C52" w:rsidP="000B0C52">
      <w:pPr>
        <w:tabs>
          <w:tab w:val="left" w:pos="1701"/>
          <w:tab w:val="left" w:pos="1927"/>
        </w:tabs>
      </w:pPr>
      <w:r>
        <w:t xml:space="preserve">• </w:t>
      </w:r>
      <w:r>
        <w:rPr>
          <w:i/>
        </w:rPr>
        <w:t>" Résistance d'une union monétaire à des chocs "</w:t>
      </w:r>
      <w:r>
        <w:t xml:space="preserve"> (</w:t>
      </w:r>
      <w:r>
        <w:rPr>
          <w:u w:val="single"/>
        </w:rPr>
        <w:t>contrat CRMM/Commissariat Général du Plan n° 25-89</w:t>
      </w:r>
      <w:r>
        <w:t xml:space="preserve">), Janv. 1991, sous la direction du professeur C. Bordes. </w:t>
      </w:r>
    </w:p>
    <w:p w:rsidR="000B0C52" w:rsidRPr="000B0C52" w:rsidRDefault="000B0C52" w:rsidP="000B0C52">
      <w:pPr>
        <w:tabs>
          <w:tab w:val="left" w:pos="1701"/>
          <w:tab w:val="left" w:pos="1927"/>
        </w:tabs>
      </w:pPr>
      <w:r>
        <w:t xml:space="preserve">• </w:t>
      </w:r>
      <w:r>
        <w:rPr>
          <w:i/>
        </w:rPr>
        <w:t>" Déréglementation financière et adaptation du système bancaire français"</w:t>
      </w:r>
      <w:r>
        <w:t xml:space="preserve"> (</w:t>
      </w:r>
      <w:r>
        <w:rPr>
          <w:u w:val="single"/>
        </w:rPr>
        <w:t>contrat HEC/Direction de la Prévision, Ministère de l'Économie et des Finances</w:t>
      </w:r>
      <w:r>
        <w:t xml:space="preserve">), Juin 1992, sous la direction du professeur J. Mélitz. </w:t>
      </w:r>
    </w:p>
    <w:p w:rsidR="000B0C52" w:rsidRPr="00EA5C49" w:rsidRDefault="000B0C52" w:rsidP="000B0C52">
      <w:pPr>
        <w:tabs>
          <w:tab w:val="left" w:pos="1701"/>
          <w:tab w:val="left" w:pos="1927"/>
        </w:tabs>
        <w:rPr>
          <w:lang w:val="en-US"/>
        </w:rPr>
      </w:pPr>
      <w:r>
        <w:rPr>
          <w:lang w:val="en-US"/>
        </w:rPr>
        <w:t xml:space="preserve">• </w:t>
      </w:r>
      <w:r>
        <w:rPr>
          <w:i/>
          <w:lang w:val="en-US"/>
        </w:rPr>
        <w:t>" Financial reform in Poland and the evolution of a single EC banking market "</w:t>
      </w:r>
      <w:r>
        <w:rPr>
          <w:lang w:val="en-US"/>
        </w:rPr>
        <w:t xml:space="preserve">, </w:t>
      </w:r>
      <w:r>
        <w:rPr>
          <w:u w:val="single"/>
          <w:lang w:val="en-US"/>
        </w:rPr>
        <w:t>EC-ACE project</w:t>
      </w:r>
      <w:r>
        <w:rPr>
          <w:lang w:val="en-US"/>
        </w:rPr>
        <w:t xml:space="preserve">, sept.1992, sous la direction des professeurs M. Fry et E. Girardin. </w:t>
      </w:r>
    </w:p>
    <w:p w:rsidR="000B0C52" w:rsidRPr="000B0C52" w:rsidRDefault="000B0C52" w:rsidP="000B0C52">
      <w:pPr>
        <w:tabs>
          <w:tab w:val="left" w:pos="1701"/>
          <w:tab w:val="left" w:pos="1927"/>
        </w:tabs>
      </w:pPr>
      <w:r>
        <w:t>•</w:t>
      </w:r>
      <w:r>
        <w:rPr>
          <w:i/>
        </w:rPr>
        <w:t>" Financial reform in Eastern Europe"</w:t>
      </w:r>
      <w:r>
        <w:t xml:space="preserve">, </w:t>
      </w:r>
      <w:r>
        <w:rPr>
          <w:u w:val="single"/>
        </w:rPr>
        <w:t>EC-ACE project</w:t>
      </w:r>
      <w:r>
        <w:t xml:space="preserve">, sept.1993, sous la direction des professeurs M. Fry et E. Girardin. </w:t>
      </w:r>
    </w:p>
    <w:p w:rsidR="000B0C52" w:rsidRPr="000B0C52" w:rsidRDefault="000B0C52" w:rsidP="000B0C52">
      <w:pPr>
        <w:tabs>
          <w:tab w:val="left" w:pos="1701"/>
          <w:tab w:val="left" w:pos="1927"/>
        </w:tabs>
      </w:pPr>
      <w:r>
        <w:t xml:space="preserve">• </w:t>
      </w:r>
      <w:r>
        <w:rPr>
          <w:i/>
        </w:rPr>
        <w:t xml:space="preserve">"Intégration financière internationale, système financiers  régionaux et performance macroéconomique"  </w:t>
      </w:r>
      <w:r>
        <w:t>(</w:t>
      </w:r>
      <w:r>
        <w:rPr>
          <w:u w:val="single"/>
        </w:rPr>
        <w:t>contrat Commissariat Général du Plan</w:t>
      </w:r>
      <w:r>
        <w:t xml:space="preserve">), Déc.1994/Déc.1996  </w:t>
      </w:r>
    </w:p>
    <w:p w:rsidR="000B0C52" w:rsidRPr="000B0C52" w:rsidRDefault="000B0C52" w:rsidP="000B0C52">
      <w:pPr>
        <w:tabs>
          <w:tab w:val="left" w:pos="1701"/>
          <w:tab w:val="left" w:pos="1927"/>
        </w:tabs>
      </w:pPr>
      <w:r>
        <w:t xml:space="preserve">• </w:t>
      </w:r>
      <w:r>
        <w:rPr>
          <w:i/>
        </w:rPr>
        <w:t xml:space="preserve">"Governance and Economic Performance in Eastern Europe"  </w:t>
      </w:r>
      <w:r>
        <w:rPr>
          <w:u w:val="single"/>
        </w:rPr>
        <w:t>EC-ACE project,</w:t>
      </w:r>
      <w:r>
        <w:t xml:space="preserve"> sous la direction des professeurs M. Fry et E. Girardin, Déc. 1996/Déc. 1998 </w:t>
      </w:r>
    </w:p>
    <w:p w:rsidR="000B0C52" w:rsidRDefault="000B0C52" w:rsidP="000B0C52">
      <w:pPr>
        <w:tabs>
          <w:tab w:val="left" w:pos="1701"/>
          <w:tab w:val="left" w:pos="1927"/>
        </w:tabs>
        <w:rPr>
          <w:lang w:val="en-US"/>
        </w:rPr>
      </w:pPr>
      <w:r>
        <w:rPr>
          <w:lang w:val="en-US"/>
        </w:rPr>
        <w:t>•</w:t>
      </w:r>
      <w:r>
        <w:rPr>
          <w:i/>
          <w:lang w:val="en-US"/>
        </w:rPr>
        <w:t xml:space="preserve">"Financial Integration between the EU and the Transition Economies of Central and Eastern Europe"  </w:t>
      </w:r>
      <w:r>
        <w:rPr>
          <w:u w:val="single"/>
          <w:lang w:val="en-US"/>
        </w:rPr>
        <w:t>EC-ACE project,</w:t>
      </w:r>
      <w:r>
        <w:rPr>
          <w:lang w:val="en-US"/>
        </w:rPr>
        <w:t xml:space="preserve"> 1999/2001. </w:t>
      </w:r>
    </w:p>
    <w:p w:rsidR="00CE7BD0" w:rsidRPr="00CE7BD0" w:rsidRDefault="00CE7BD0" w:rsidP="000B0C52">
      <w:pPr>
        <w:tabs>
          <w:tab w:val="left" w:pos="1701"/>
          <w:tab w:val="left" w:pos="1927"/>
        </w:tabs>
      </w:pPr>
      <w:r>
        <w:t>•</w:t>
      </w:r>
      <w:r>
        <w:rPr>
          <w:bCs/>
          <w:i/>
        </w:rPr>
        <w:t>Marge d'intérêt et risque de taux de la Caisse d'Épargne du Limousin</w:t>
      </w:r>
      <w:r>
        <w:rPr>
          <w:bCs/>
        </w:rPr>
        <w:t>, CIFRE n°98057, Caisse d’Epargne du Limousin and Caisse Nationale des Caisses d’Epargne, 2000-2003.</w:t>
      </w:r>
    </w:p>
    <w:p w:rsidR="000B0C52" w:rsidRPr="00CE7BD0" w:rsidRDefault="000B0C52" w:rsidP="000B0C52">
      <w:pPr>
        <w:tabs>
          <w:tab w:val="left" w:pos="1701"/>
          <w:tab w:val="left" w:pos="1927"/>
        </w:tabs>
      </w:pPr>
      <w:r>
        <w:t>•</w:t>
      </w:r>
      <w:r>
        <w:rPr>
          <w:bCs/>
          <w:i/>
        </w:rPr>
        <w:t xml:space="preserve">“On the use of mergers as a solution of bank distress” </w:t>
      </w:r>
      <w:r>
        <w:t xml:space="preserve">avec l'Université des Philippines, </w:t>
      </w:r>
      <w:r>
        <w:rPr>
          <w:u w:val="single"/>
        </w:rPr>
        <w:t>Asia-Europe Meeting (ASEM)</w:t>
      </w:r>
      <w:r>
        <w:t xml:space="preserve">, sous la coordination de A. Tarazi et C. Crouzille, 2002/2003 </w:t>
      </w:r>
    </w:p>
    <w:p w:rsidR="000B0C52" w:rsidRPr="00A92EB1" w:rsidRDefault="000B0C52" w:rsidP="000B0C52">
      <w:pPr>
        <w:tabs>
          <w:tab w:val="left" w:pos="1701"/>
          <w:tab w:val="left" w:pos="1927"/>
        </w:tabs>
      </w:pPr>
      <w:r>
        <w:t>•</w:t>
      </w:r>
      <w:r>
        <w:rPr>
          <w:i/>
        </w:rPr>
        <w:t xml:space="preserve">"Financial Fragility : lessons from Europe and South East Asia », </w:t>
      </w:r>
      <w:r>
        <w:rPr>
          <w:iCs/>
        </w:rPr>
        <w:t>Euro-Philippine Network in Banking and Finance : Enhancing Teaching and Research</w:t>
      </w:r>
      <w:r>
        <w:rPr>
          <w:i/>
        </w:rPr>
        <w:t xml:space="preserve"> </w:t>
      </w:r>
      <w:r>
        <w:rPr>
          <w:iCs/>
          <w:sz w:val="22"/>
        </w:rPr>
        <w:t>,</w:t>
      </w:r>
      <w:r>
        <w:rPr>
          <w:sz w:val="22"/>
        </w:rPr>
        <w:t xml:space="preserve"> </w:t>
      </w:r>
      <w:r>
        <w:rPr>
          <w:u w:val="single"/>
        </w:rPr>
        <w:t>Programme ASIALINK/B7-301/2005/105-139</w:t>
      </w:r>
      <w:r>
        <w:rPr>
          <w:i/>
          <w:u w:val="single"/>
        </w:rPr>
        <w:t>,</w:t>
      </w:r>
      <w:r>
        <w:rPr>
          <w:u w:val="single"/>
        </w:rPr>
        <w:t xml:space="preserve">  Commission Européenne</w:t>
      </w:r>
      <w:r>
        <w:t xml:space="preserve">, avec les Universités de Birmingham (RU) et des Philippines, sous la coordination de A. Tarazi, sept. 2005/sept.2007, </w:t>
      </w:r>
      <w:hyperlink r:id="rId14" w:history="1">
        <w:r>
          <w:rPr>
            <w:rStyle w:val="Lienhypertexte"/>
            <w:bCs/>
          </w:rPr>
          <w:t>http://cba.upd.edu.ph/asialink/</w:t>
        </w:r>
      </w:hyperlink>
      <w:r>
        <w:t xml:space="preserve"> </w:t>
      </w:r>
    </w:p>
    <w:p w:rsidR="000B0C52" w:rsidRPr="00A92EB1" w:rsidRDefault="000B0C52" w:rsidP="000B0C52">
      <w:pPr>
        <w:tabs>
          <w:tab w:val="left" w:pos="1701"/>
          <w:tab w:val="left" w:pos="1927"/>
        </w:tabs>
      </w:pPr>
      <w:r>
        <w:t xml:space="preserve">• </w:t>
      </w:r>
      <w:r>
        <w:rPr>
          <w:i/>
          <w:iCs/>
        </w:rPr>
        <w:t>" International Research Group on Financial Stability”</w:t>
      </w:r>
      <w:r>
        <w:t xml:space="preserve">, BQR Soutien aux Réseaux Internationaux (Université de Limoges), avec la Copenhagen Business School, la London School of Economics, et University of Southern California, sous la coordination de A. Tarazi, nov. 2005/nov. 2008. </w:t>
      </w:r>
    </w:p>
    <w:p w:rsidR="000B0C52" w:rsidRPr="000B0C52" w:rsidRDefault="000B0C52" w:rsidP="000B0C52">
      <w:pPr>
        <w:tabs>
          <w:tab w:val="left" w:pos="1701"/>
          <w:tab w:val="left" w:pos="1927"/>
        </w:tabs>
      </w:pPr>
      <w:r>
        <w:lastRenderedPageBreak/>
        <w:t xml:space="preserve">• </w:t>
      </w:r>
      <w:r>
        <w:rPr>
          <w:i/>
          <w:iCs/>
        </w:rPr>
        <w:t>" Fragilité bancaire : création de liquidité, capitalisation et structure de bilans ”</w:t>
      </w:r>
      <w:r>
        <w:t xml:space="preserve">, Contrat de recherche avec la Société </w:t>
      </w:r>
      <w:r>
        <w:rPr>
          <w:u w:val="single"/>
        </w:rPr>
        <w:t>JPLC Credit Risk</w:t>
      </w:r>
      <w:r>
        <w:t xml:space="preserve">, sous la coordination de A. Tarazi et L. Lepetit, nov. 2008/nov. 2010. </w:t>
      </w:r>
    </w:p>
    <w:p w:rsidR="000B0C52" w:rsidRDefault="000B0C52" w:rsidP="000B0C52">
      <w:pPr>
        <w:tabs>
          <w:tab w:val="left" w:pos="1701"/>
          <w:tab w:val="left" w:pos="1927"/>
        </w:tabs>
        <w:rPr>
          <w:iCs/>
          <w:lang w:val="en-GB"/>
        </w:rPr>
      </w:pPr>
      <w:r>
        <w:rPr>
          <w:lang w:val="en-US"/>
        </w:rPr>
        <w:t xml:space="preserve">• </w:t>
      </w:r>
      <w:r>
        <w:rPr>
          <w:i/>
          <w:iCs/>
          <w:lang w:val="en-GB"/>
        </w:rPr>
        <w:t xml:space="preserve">" The effects of ownership restructuring on bank risk taking and lending behaviour : evidence from Southeast Asia” </w:t>
      </w:r>
      <w:r>
        <w:rPr>
          <w:iCs/>
          <w:u w:val="single"/>
          <w:lang w:val="en-GB"/>
        </w:rPr>
        <w:t>programme PHC Orchid</w:t>
      </w:r>
      <w:r>
        <w:rPr>
          <w:iCs/>
          <w:lang w:val="en-GB"/>
        </w:rPr>
        <w:t xml:space="preserve"> (Taiwan) sous la coordination de A. Tarazi, December 2009/January 2012. </w:t>
      </w:r>
    </w:p>
    <w:p w:rsidR="000B0C52" w:rsidRDefault="000B0C52" w:rsidP="000B0C52">
      <w:pPr>
        <w:tabs>
          <w:tab w:val="left" w:pos="1701"/>
          <w:tab w:val="left" w:pos="1927"/>
        </w:tabs>
        <w:rPr>
          <w:lang w:val="en-GB"/>
        </w:rPr>
      </w:pPr>
      <w:r>
        <w:rPr>
          <w:lang w:val="en-GB"/>
        </w:rPr>
        <w:t>•</w:t>
      </w:r>
      <w:r>
        <w:rPr>
          <w:i/>
          <w:iCs/>
          <w:lang w:val="en-GB"/>
        </w:rPr>
        <w:t xml:space="preserve">"Ownership Structure and Bank Risk” </w:t>
      </w:r>
      <w:r>
        <w:rPr>
          <w:iCs/>
          <w:lang w:val="en-GB"/>
        </w:rPr>
        <w:t>BQR</w:t>
      </w:r>
      <w:r>
        <w:rPr>
          <w:i/>
          <w:iCs/>
          <w:lang w:val="en-GB"/>
        </w:rPr>
        <w:t xml:space="preserve"> </w:t>
      </w:r>
      <w:r>
        <w:rPr>
          <w:lang w:val="en-GB"/>
        </w:rPr>
        <w:t xml:space="preserve">Soutien aux Réseaux Internationaux (Université de Limoges), avec Rensselaer New York, New York University, University of Bangor (UK), Copenhagen Business School, University of Groningen…, sous la coordination de A. Tarazi, déc. 2009/déc. 2012. </w:t>
      </w:r>
    </w:p>
    <w:p w:rsidR="000B0C52" w:rsidRPr="00EA5C49" w:rsidRDefault="000B0C52" w:rsidP="000B0C52">
      <w:pPr>
        <w:tabs>
          <w:tab w:val="left" w:pos="1701"/>
          <w:tab w:val="left" w:pos="1927"/>
        </w:tabs>
        <w:rPr>
          <w:lang w:val="en-US"/>
        </w:rPr>
      </w:pPr>
      <w:r>
        <w:rPr>
          <w:lang w:val="en-GB"/>
        </w:rPr>
        <w:t>•</w:t>
      </w:r>
      <w:r>
        <w:rPr>
          <w:i/>
          <w:lang w:val="en-US"/>
        </w:rPr>
        <w:t>"Ownership Concentration, Commissioner Power and Risk Management in Indonesian Banking"</w:t>
      </w:r>
      <w:r>
        <w:rPr>
          <w:lang w:val="en-US"/>
        </w:rPr>
        <w:t xml:space="preserve">, Programme </w:t>
      </w:r>
      <w:r>
        <w:rPr>
          <w:u w:val="single"/>
          <w:lang w:val="en-US"/>
        </w:rPr>
        <w:t>DIKTI-SCAC</w:t>
      </w:r>
      <w:r>
        <w:rPr>
          <w:lang w:val="en-US"/>
        </w:rPr>
        <w:t xml:space="preserve"> Ambassade de France </w:t>
      </w:r>
      <w:r>
        <w:rPr>
          <w:i/>
          <w:lang w:val="en-US"/>
        </w:rPr>
        <w:t xml:space="preserve">"Overseas Research Cooperation and International Publication", </w:t>
      </w:r>
      <w:r>
        <w:rPr>
          <w:lang w:val="en-US"/>
        </w:rPr>
        <w:t xml:space="preserve">sous la coordination de A. Tarazi, septembre 2010 – août 2011. </w:t>
      </w:r>
    </w:p>
    <w:p w:rsidR="000B0C52" w:rsidRPr="00FF06A3" w:rsidRDefault="000B0C52" w:rsidP="000B0C52">
      <w:pPr>
        <w:tabs>
          <w:tab w:val="left" w:pos="1701"/>
          <w:tab w:val="left" w:pos="1927"/>
        </w:tabs>
        <w:rPr>
          <w:lang w:val="en-US"/>
        </w:rPr>
      </w:pPr>
      <w:r>
        <w:rPr>
          <w:lang w:val="en-US"/>
        </w:rPr>
        <w:t xml:space="preserve">• </w:t>
      </w:r>
      <w:r>
        <w:rPr>
          <w:i/>
          <w:lang w:val="en-US"/>
        </w:rPr>
        <w:t>"Bank Competition, Institutions and Economic Development: Evidence from Asia"</w:t>
      </w:r>
      <w:r>
        <w:rPr>
          <w:lang w:val="en-US"/>
        </w:rPr>
        <w:t xml:space="preserve">, Programme </w:t>
      </w:r>
      <w:r>
        <w:rPr>
          <w:u w:val="single"/>
          <w:lang w:val="en-US"/>
        </w:rPr>
        <w:t>DIKTI-SCAC</w:t>
      </w:r>
      <w:r>
        <w:rPr>
          <w:lang w:val="en-US"/>
        </w:rPr>
        <w:t xml:space="preserve"> Ambassade de France </w:t>
      </w:r>
      <w:r>
        <w:rPr>
          <w:i/>
          <w:lang w:val="en-US"/>
        </w:rPr>
        <w:t>"Overseas Research Collaboration with University or Industry"</w:t>
      </w:r>
      <w:r>
        <w:rPr>
          <w:lang w:val="en-US"/>
        </w:rPr>
        <w:t>,</w:t>
      </w:r>
      <w:r>
        <w:rPr>
          <w:i/>
          <w:lang w:val="en-US"/>
        </w:rPr>
        <w:t xml:space="preserve"> </w:t>
      </w:r>
      <w:r>
        <w:rPr>
          <w:lang w:val="en-US"/>
        </w:rPr>
        <w:t xml:space="preserve">sous la coordination de A. Tarazi , septembre 2010 – février 2011. </w:t>
      </w:r>
    </w:p>
    <w:p w:rsidR="000B0C52" w:rsidRPr="000B0C52" w:rsidRDefault="000B0C52" w:rsidP="000B0C52">
      <w:pPr>
        <w:tabs>
          <w:tab w:val="left" w:pos="1701"/>
          <w:tab w:val="left" w:pos="1927"/>
        </w:tabs>
      </w:pPr>
      <w:r>
        <w:t>•</w:t>
      </w:r>
      <w:r>
        <w:rPr>
          <w:i/>
          <w:iCs/>
        </w:rPr>
        <w:t xml:space="preserve">" </w:t>
      </w:r>
      <w:r>
        <w:rPr>
          <w:i/>
        </w:rPr>
        <w:t>Conglomérats financiers et crises systémiques</w:t>
      </w:r>
      <w:r>
        <w:rPr>
          <w:i/>
          <w:iCs/>
        </w:rPr>
        <w:t>”</w:t>
      </w:r>
      <w:r>
        <w:t xml:space="preserve">, Projet de recherche </w:t>
      </w:r>
      <w:r>
        <w:rPr>
          <w:u w:val="single"/>
        </w:rPr>
        <w:t>PRES</w:t>
      </w:r>
      <w:r>
        <w:t xml:space="preserve"> Limousin Poitou-Charentes, sous la coordination de D. Goyeau et A. Tarazi, Nov. 2011/Nov. 2013. </w:t>
      </w:r>
    </w:p>
    <w:p w:rsidR="000B0C52" w:rsidRPr="000B0C52" w:rsidRDefault="000B0C52" w:rsidP="000B0C52">
      <w:pPr>
        <w:tabs>
          <w:tab w:val="left" w:pos="1701"/>
          <w:tab w:val="left" w:pos="1927"/>
        </w:tabs>
      </w:pPr>
      <w:r>
        <w:t>•</w:t>
      </w:r>
      <w:r>
        <w:rPr>
          <w:i/>
          <w:iCs/>
        </w:rPr>
        <w:t>" Modélisation de la performance des actifs et optimisation des risques en période de stress”</w:t>
      </w:r>
      <w:r>
        <w:t xml:space="preserve">, Contrat de recherche avec la Société </w:t>
      </w:r>
      <w:r>
        <w:rPr>
          <w:u w:val="single"/>
        </w:rPr>
        <w:t>JPLC Credit Risk</w:t>
      </w:r>
      <w:r>
        <w:t xml:space="preserve">, sous la coordination de A. Tarazi, janvier 2012/déc. 2014. </w:t>
      </w:r>
    </w:p>
    <w:p w:rsidR="000B0C52" w:rsidRPr="000B0C52" w:rsidRDefault="000B0C52" w:rsidP="000B0C52">
      <w:pPr>
        <w:tabs>
          <w:tab w:val="left" w:pos="1701"/>
          <w:tab w:val="left" w:pos="1927"/>
        </w:tabs>
      </w:pPr>
      <w:r>
        <w:rPr>
          <w:snapToGrid w:val="0"/>
          <w:lang w:val="en-US"/>
        </w:rPr>
        <w:t>• "</w:t>
      </w:r>
      <w:r>
        <w:rPr>
          <w:i/>
          <w:snapToGrid w:val="0"/>
          <w:lang w:val="en-US"/>
        </w:rPr>
        <w:t xml:space="preserve">Why are loans to Micro, Small and Medium Enterprises in Indonesia so expensive? </w:t>
      </w:r>
      <w:r>
        <w:rPr>
          <w:i/>
          <w:snapToGrid w:val="0"/>
        </w:rPr>
        <w:t xml:space="preserve">Do regional characteristics matter? </w:t>
      </w:r>
      <w:r>
        <w:rPr>
          <w:snapToGrid w:val="0"/>
          <w:u w:val="single"/>
        </w:rPr>
        <w:t>PHC Nusantara 2013</w:t>
      </w:r>
      <w:r>
        <w:rPr>
          <w:snapToGrid w:val="0"/>
        </w:rPr>
        <w:t xml:space="preserve"> (Indonésie), </w:t>
      </w:r>
      <w:r>
        <w:rPr>
          <w:iCs/>
        </w:rPr>
        <w:t xml:space="preserve">sous la coordination de A. Tarazi, en collaboration avec l'Université Sebalat Maret, la banque centrale d'Indonésie et de la banque mondiale, décembre 2012/janvier 2015. </w:t>
      </w:r>
      <w:r>
        <w:t xml:space="preserve"> </w:t>
      </w:r>
    </w:p>
    <w:p w:rsidR="000B0C52" w:rsidRPr="00FF1852" w:rsidRDefault="000B0C52" w:rsidP="000B0C52">
      <w:pPr>
        <w:tabs>
          <w:tab w:val="left" w:pos="1701"/>
          <w:tab w:val="left" w:pos="1927"/>
        </w:tabs>
        <w:rPr>
          <w:lang w:val="en-US"/>
        </w:rPr>
      </w:pPr>
      <w:r>
        <w:rPr>
          <w:snapToGrid w:val="0"/>
          <w:lang w:val="en-US"/>
        </w:rPr>
        <w:t>• "</w:t>
      </w:r>
      <w:r>
        <w:rPr>
          <w:i/>
          <w:lang w:val="en-US"/>
        </w:rPr>
        <w:t>The role of the factoring and commercial finance industry in the European Union</w:t>
      </w:r>
      <w:r>
        <w:rPr>
          <w:lang w:val="en-US"/>
        </w:rPr>
        <w:t xml:space="preserve">", sous la coordination F. Fiordelisi (et de A. Tarazi pour la France), </w:t>
      </w:r>
      <w:r>
        <w:rPr>
          <w:u w:val="single"/>
          <w:lang w:val="en-US"/>
        </w:rPr>
        <w:t>EU Federation</w:t>
      </w:r>
      <w:r>
        <w:rPr>
          <w:lang w:val="en-US"/>
        </w:rPr>
        <w:t xml:space="preserve"> for Factoring and Commercial Finance Industry (EUF), Janv. 2013-Janv. 2014. </w:t>
      </w:r>
    </w:p>
    <w:p w:rsidR="000B0C52" w:rsidRPr="00FF1852" w:rsidRDefault="000B0C52" w:rsidP="000B0C52">
      <w:pPr>
        <w:tabs>
          <w:tab w:val="left" w:pos="1701"/>
          <w:tab w:val="left" w:pos="1927"/>
        </w:tabs>
        <w:rPr>
          <w:iCs/>
          <w:snapToGrid w:val="0"/>
          <w:lang w:val="en-US"/>
        </w:rPr>
      </w:pPr>
      <w:r>
        <w:rPr>
          <w:snapToGrid w:val="0"/>
          <w:lang w:val="en-US"/>
        </w:rPr>
        <w:t>• "</w:t>
      </w:r>
      <w:r>
        <w:rPr>
          <w:i/>
          <w:iCs/>
          <w:snapToGrid w:val="0"/>
          <w:lang w:val="en-US"/>
        </w:rPr>
        <w:t>How Does The Grabbing Hand Theory Explain the Political Influences on Business and Economic in Indonesia?</w:t>
      </w:r>
      <w:r>
        <w:rPr>
          <w:iCs/>
          <w:snapToGrid w:val="0"/>
          <w:lang w:val="en-US"/>
        </w:rPr>
        <w:t xml:space="preserve">", Projet soumis en mai 2012 à </w:t>
      </w:r>
      <w:r>
        <w:rPr>
          <w:iCs/>
          <w:snapToGrid w:val="0"/>
          <w:u w:val="single"/>
          <w:lang w:val="en-US"/>
        </w:rPr>
        <w:t xml:space="preserve">DIKTI </w:t>
      </w:r>
      <w:r>
        <w:rPr>
          <w:iCs/>
          <w:snapToGrid w:val="0"/>
          <w:lang w:val="en-US"/>
        </w:rPr>
        <w:t xml:space="preserve">(Indonésie) sous la coordination de A Tarazi et Muhammad Agung Prabowo, en collaboration avec l'Université Sebalat Maret. </w:t>
      </w:r>
    </w:p>
    <w:p w:rsidR="000B0C52" w:rsidRPr="00EA5C49" w:rsidRDefault="000B0C52" w:rsidP="000B0C52">
      <w:pPr>
        <w:tabs>
          <w:tab w:val="left" w:pos="1701"/>
          <w:tab w:val="left" w:pos="1927"/>
        </w:tabs>
        <w:rPr>
          <w:iCs/>
          <w:snapToGrid w:val="0"/>
          <w:lang w:val="en-US"/>
        </w:rPr>
      </w:pPr>
      <w:r>
        <w:rPr>
          <w:iCs/>
          <w:snapToGrid w:val="0"/>
          <w:lang w:val="en-US"/>
        </w:rPr>
        <w:t>•</w:t>
      </w:r>
      <w:r>
        <w:rPr>
          <w:i/>
          <w:iCs/>
          <w:snapToGrid w:val="0"/>
          <w:lang w:val="en-US"/>
        </w:rPr>
        <w:t>"The Organization of Banks and their Affiliates; Perspectives on Risk, Efficiency and Regulation"</w:t>
      </w:r>
      <w:r>
        <w:rPr>
          <w:iCs/>
          <w:snapToGrid w:val="0"/>
          <w:lang w:val="en-US"/>
        </w:rPr>
        <w:t xml:space="preserve">, </w:t>
      </w:r>
      <w:r>
        <w:rPr>
          <w:iCs/>
          <w:snapToGrid w:val="0"/>
          <w:u w:val="single"/>
          <w:lang w:val="en-US"/>
        </w:rPr>
        <w:t>Europlace Institute of Finance (Labex Louis Bachelier)</w:t>
      </w:r>
      <w:r>
        <w:rPr>
          <w:iCs/>
          <w:snapToGrid w:val="0"/>
          <w:lang w:val="en-US"/>
        </w:rPr>
        <w:t>, accepted, December 2013, with Eliza Luciano (project coordinator/head scientist) and Clas Wihlborg.</w:t>
      </w:r>
    </w:p>
    <w:p w:rsidR="001D67F9" w:rsidRPr="001D67F9" w:rsidRDefault="001D67F9" w:rsidP="000B0C52">
      <w:pPr>
        <w:tabs>
          <w:tab w:val="left" w:pos="1701"/>
          <w:tab w:val="left" w:pos="1927"/>
        </w:tabs>
        <w:rPr>
          <w:iCs/>
          <w:snapToGrid w:val="0"/>
        </w:rPr>
      </w:pPr>
      <w:r>
        <w:rPr>
          <w:iCs/>
          <w:snapToGrid w:val="0"/>
        </w:rPr>
        <w:t>•</w:t>
      </w:r>
      <w:r>
        <w:rPr>
          <w:rFonts w:eastAsia="Calibri"/>
          <w:i/>
          <w:iCs/>
        </w:rPr>
        <w:t>“</w:t>
      </w:r>
      <w:r>
        <w:rPr>
          <w:rFonts w:eastAsia="Calibri"/>
          <w:i/>
        </w:rPr>
        <w:t>Banking Research Network (BREAK)</w:t>
      </w:r>
      <w:r>
        <w:rPr>
          <w:rFonts w:eastAsia="PMingLiU"/>
          <w:i/>
          <w:iCs/>
          <w:lang w:eastAsia="zh-TW" w:bidi="he-IL"/>
        </w:rPr>
        <w:t>”</w:t>
      </w:r>
      <w:r>
        <w:rPr>
          <w:rFonts w:eastAsia="Calibri"/>
        </w:rPr>
        <w:t xml:space="preserve">, Contrat de recherche </w:t>
      </w:r>
      <w:r>
        <w:rPr>
          <w:rFonts w:eastAsia="PMingLiU"/>
          <w:lang w:eastAsia="zh-TW" w:bidi="he-IL"/>
        </w:rPr>
        <w:t>"</w:t>
      </w:r>
      <w:r>
        <w:rPr>
          <w:rFonts w:eastAsia="Calibri"/>
        </w:rPr>
        <w:t>Appel à Projet Structurant</w:t>
      </w:r>
      <w:r>
        <w:rPr>
          <w:rFonts w:eastAsia="PMingLiU"/>
          <w:lang w:eastAsia="zh-TW" w:bidi="he-IL"/>
        </w:rPr>
        <w:t xml:space="preserve">" </w:t>
      </w:r>
      <w:r>
        <w:rPr>
          <w:rFonts w:eastAsia="Calibri"/>
        </w:rPr>
        <w:t xml:space="preserve">Conseil Régional du Limousin, sous la </w:t>
      </w:r>
      <w:r>
        <w:rPr>
          <w:rFonts w:eastAsia="Calibri"/>
          <w:bCs/>
        </w:rPr>
        <w:t xml:space="preserve">coordination de A. Tarazi, </w:t>
      </w:r>
      <w:r>
        <w:rPr>
          <w:rFonts w:eastAsia="Calibri"/>
        </w:rPr>
        <w:t>2013/2015.</w:t>
      </w:r>
    </w:p>
    <w:p w:rsidR="005E5153" w:rsidRPr="00EA5C49" w:rsidRDefault="005E5153" w:rsidP="000B0C52">
      <w:pPr>
        <w:tabs>
          <w:tab w:val="left" w:pos="1701"/>
          <w:tab w:val="left" w:pos="1927"/>
        </w:tabs>
        <w:rPr>
          <w:iCs/>
          <w:snapToGrid w:val="0"/>
          <w:lang w:val="en-US"/>
        </w:rPr>
      </w:pPr>
      <w:r>
        <w:rPr>
          <w:iCs/>
          <w:snapToGrid w:val="0"/>
          <w:lang w:val="en-US"/>
        </w:rPr>
        <w:t xml:space="preserve">• </w:t>
      </w:r>
      <w:r>
        <w:rPr>
          <w:i/>
          <w:iCs/>
          <w:snapToGrid w:val="0"/>
          <w:lang w:val="en-US"/>
        </w:rPr>
        <w:t xml:space="preserve">"Deposit structure and incentive for risk taking", </w:t>
      </w:r>
      <w:r>
        <w:rPr>
          <w:iCs/>
          <w:snapToGrid w:val="0"/>
          <w:lang w:val="en-US"/>
        </w:rPr>
        <w:t>with Sebalas Maret University, Indonesian Deposit Insurance Corporation, October 2015.</w:t>
      </w:r>
    </w:p>
    <w:p w:rsidR="001D67F9" w:rsidRPr="001D67F9" w:rsidRDefault="001D67F9" w:rsidP="000B0C52">
      <w:pPr>
        <w:tabs>
          <w:tab w:val="left" w:pos="1701"/>
          <w:tab w:val="left" w:pos="1927"/>
        </w:tabs>
        <w:rPr>
          <w:iCs/>
          <w:snapToGrid w:val="0"/>
        </w:rPr>
      </w:pPr>
      <w:r>
        <w:rPr>
          <w:iCs/>
          <w:snapToGrid w:val="0"/>
        </w:rPr>
        <w:t xml:space="preserve">• </w:t>
      </w:r>
      <w:r>
        <w:rPr>
          <w:bCs/>
          <w:iCs/>
          <w:snapToGrid w:val="0"/>
        </w:rPr>
        <w:t>"</w:t>
      </w:r>
      <w:r>
        <w:rPr>
          <w:bCs/>
          <w:i/>
          <w:iCs/>
          <w:snapToGrid w:val="0"/>
        </w:rPr>
        <w:t>GovBrisk</w:t>
      </w:r>
      <w:r>
        <w:rPr>
          <w:bCs/>
          <w:iCs/>
          <w:snapToGrid w:val="0"/>
        </w:rPr>
        <w:t>", AAP Niche d'excellence, Conseil Régional du Limousin, sous la coordination de A. Tarazi, 2015/2017.</w:t>
      </w:r>
    </w:p>
    <w:p w:rsidR="00AD617B" w:rsidRPr="00A4054F" w:rsidRDefault="00AD617B" w:rsidP="000B0C52">
      <w:pPr>
        <w:tabs>
          <w:tab w:val="left" w:pos="1701"/>
          <w:tab w:val="left" w:pos="1927"/>
        </w:tabs>
        <w:rPr>
          <w:iCs/>
          <w:snapToGrid w:val="0"/>
          <w:lang w:val="en-US"/>
        </w:rPr>
      </w:pPr>
      <w:r>
        <w:rPr>
          <w:iCs/>
          <w:snapToGrid w:val="0"/>
          <w:lang w:val="en-US"/>
        </w:rPr>
        <w:t>•</w:t>
      </w:r>
      <w:r>
        <w:rPr>
          <w:i/>
          <w:iCs/>
          <w:snapToGrid w:val="0"/>
          <w:lang w:val="en-US"/>
        </w:rPr>
        <w:t>"Does Banks Systemic Importance Affect their Capital Structure Adjustment Process?</w:t>
      </w:r>
      <w:r>
        <w:rPr>
          <w:iCs/>
          <w:snapToGrid w:val="0"/>
          <w:lang w:val="en-US"/>
        </w:rPr>
        <w:t xml:space="preserve">" </w:t>
      </w:r>
      <w:r>
        <w:rPr>
          <w:iCs/>
          <w:snapToGrid w:val="0"/>
          <w:u w:val="single"/>
          <w:lang w:val="en-US"/>
        </w:rPr>
        <w:t>Europlace Institute of Finance (Labex Louis Bachelier</w:t>
      </w:r>
      <w:r>
        <w:rPr>
          <w:iCs/>
          <w:snapToGrid w:val="0"/>
          <w:lang w:val="en-US"/>
        </w:rPr>
        <w:t xml:space="preserve">), accepted, November 2015, with O. DeJonghe, Tilburg University, project coordinator/head scientist : A. Tarazi. </w:t>
      </w:r>
    </w:p>
    <w:p w:rsidR="0098240E" w:rsidRPr="00EA5C49" w:rsidRDefault="0098240E" w:rsidP="000B0C52">
      <w:pPr>
        <w:tabs>
          <w:tab w:val="left" w:pos="1701"/>
          <w:tab w:val="left" w:pos="1927"/>
        </w:tabs>
        <w:rPr>
          <w:iCs/>
          <w:snapToGrid w:val="0"/>
          <w:lang w:val="en-US"/>
        </w:rPr>
      </w:pPr>
      <w:r>
        <w:rPr>
          <w:iCs/>
          <w:snapToGrid w:val="0"/>
          <w:lang w:val="en-US"/>
        </w:rPr>
        <w:t>• “</w:t>
      </w:r>
      <w:r>
        <w:rPr>
          <w:i/>
          <w:iCs/>
          <w:snapToGrid w:val="0"/>
          <w:lang w:val="en-US"/>
        </w:rPr>
        <w:t>Financial Markets Regulation and the U.S. Economy</w:t>
      </w:r>
      <w:r>
        <w:rPr>
          <w:iCs/>
          <w:snapToGrid w:val="0"/>
          <w:lang w:val="en-US"/>
        </w:rPr>
        <w:t xml:space="preserve">” </w:t>
      </w:r>
      <w:r>
        <w:rPr>
          <w:iCs/>
          <w:snapToGrid w:val="0"/>
          <w:u w:val="single"/>
          <w:lang w:val="en-US"/>
        </w:rPr>
        <w:t>Smith Richardson Foundation</w:t>
      </w:r>
      <w:r>
        <w:rPr>
          <w:iCs/>
          <w:snapToGrid w:val="0"/>
          <w:lang w:val="en-US"/>
        </w:rPr>
        <w:t>, in Westport, Connecticut, USA.  Principal applicants Charles Calomiris (Columbia University, lead applicant), Viral Acharya (New York University), Allen Berger (University of South Carolina), Robert DeYoung (Kansas University), accepted April 2016.</w:t>
      </w:r>
    </w:p>
    <w:p w:rsidR="0052328F" w:rsidRPr="00A4054F" w:rsidRDefault="0052328F" w:rsidP="000B0C52">
      <w:pPr>
        <w:tabs>
          <w:tab w:val="left" w:pos="1701"/>
          <w:tab w:val="left" w:pos="1927"/>
        </w:tabs>
        <w:rPr>
          <w:iCs/>
          <w:snapToGrid w:val="0"/>
          <w:lang w:val="en-US"/>
        </w:rPr>
      </w:pPr>
      <w:r>
        <w:rPr>
          <w:iCs/>
          <w:snapToGrid w:val="0"/>
          <w:lang w:val="en-US"/>
        </w:rPr>
        <w:t xml:space="preserve">• </w:t>
      </w:r>
      <w:r>
        <w:rPr>
          <w:i/>
          <w:iCs/>
          <w:snapToGrid w:val="0"/>
          <w:lang w:val="en-US"/>
        </w:rPr>
        <w:t>"Machine Learning and Bank Risk Scoreboard"</w:t>
      </w:r>
      <w:r>
        <w:rPr>
          <w:iCs/>
          <w:snapToGrid w:val="0"/>
          <w:lang w:val="en-US"/>
        </w:rPr>
        <w:t>, with XLIM and JPLC Credit Risk, Regional Council "thematic grant", coordinated  by A. Tarazi, Oct. 2016/Oct. 2018.</w:t>
      </w:r>
    </w:p>
    <w:p w:rsidR="00302F8A" w:rsidRPr="00A4054F" w:rsidRDefault="00302F8A" w:rsidP="000B0C52">
      <w:pPr>
        <w:tabs>
          <w:tab w:val="left" w:pos="1701"/>
          <w:tab w:val="left" w:pos="1927"/>
        </w:tabs>
        <w:rPr>
          <w:iCs/>
          <w:snapToGrid w:val="0"/>
          <w:lang w:val="en-US"/>
        </w:rPr>
      </w:pPr>
      <w:r>
        <w:rPr>
          <w:iCs/>
          <w:snapToGrid w:val="0"/>
          <w:lang w:val="en-US"/>
        </w:rPr>
        <w:t xml:space="preserve">•  </w:t>
      </w:r>
      <w:r>
        <w:rPr>
          <w:i/>
          <w:iCs/>
          <w:snapToGrid w:val="0"/>
          <w:lang w:val="en-US"/>
        </w:rPr>
        <w:t>"Bank Governance, Financial Stability and Macroeconomic Performance"</w:t>
      </w:r>
      <w:r>
        <w:rPr>
          <w:iCs/>
          <w:snapToGrid w:val="0"/>
          <w:lang w:val="en-US"/>
        </w:rPr>
        <w:t xml:space="preserve">, with Universities of Bordeaux, Poitiers and Orléans, AAP Nouvelle Aquitaine, Dec. 2017/Dec. 2020, project coordinator : A. Tarazi. </w:t>
      </w:r>
    </w:p>
    <w:p w:rsidR="001D1FCA" w:rsidRPr="00A4054F" w:rsidRDefault="001D1FCA" w:rsidP="000B0C52">
      <w:pPr>
        <w:tabs>
          <w:tab w:val="left" w:pos="1701"/>
          <w:tab w:val="left" w:pos="1927"/>
        </w:tabs>
        <w:rPr>
          <w:iCs/>
          <w:snapToGrid w:val="0"/>
          <w:lang w:val="en-US"/>
        </w:rPr>
      </w:pPr>
      <w:r>
        <w:rPr>
          <w:iCs/>
          <w:snapToGrid w:val="0"/>
          <w:lang w:val="en-US"/>
        </w:rPr>
        <w:lastRenderedPageBreak/>
        <w:t xml:space="preserve">• "OPTBANK : Optimizing Research and Doctoral Programs in Banking in Indonesia", </w:t>
      </w:r>
      <w:r>
        <w:rPr>
          <w:iCs/>
          <w:snapToGrid w:val="0"/>
          <w:u w:val="single"/>
          <w:lang w:val="en-US"/>
        </w:rPr>
        <w:t>European Commission Capacity Building</w:t>
      </w:r>
      <w:r>
        <w:rPr>
          <w:iCs/>
          <w:snapToGrid w:val="0"/>
          <w:lang w:val="en-US"/>
        </w:rPr>
        <w:t xml:space="preserve"> Grant, 999 904 euros, Dec. 2017/Dec 2021, project coordinator : A. Tarazi. </w:t>
      </w:r>
    </w:p>
    <w:p w:rsidR="005C10DE" w:rsidRDefault="005C10DE" w:rsidP="000B0C52">
      <w:pPr>
        <w:tabs>
          <w:tab w:val="left" w:pos="1701"/>
          <w:tab w:val="left" w:pos="1927"/>
        </w:tabs>
        <w:rPr>
          <w:iCs/>
          <w:snapToGrid w:val="0"/>
          <w:lang w:val="en-US"/>
        </w:rPr>
      </w:pPr>
      <w:r>
        <w:rPr>
          <w:iCs/>
          <w:snapToGrid w:val="0"/>
          <w:lang w:val="en-US"/>
        </w:rPr>
        <w:t>• "</w:t>
      </w:r>
      <w:r>
        <w:rPr>
          <w:i/>
          <w:iCs/>
          <w:snapToGrid w:val="0"/>
          <w:lang w:val="en-US"/>
        </w:rPr>
        <w:t>Deposit Insurance in Indonesia: Role, Regulation, Banking Risk and Financial Stability"</w:t>
      </w:r>
      <w:r>
        <w:rPr>
          <w:iCs/>
          <w:snapToGrid w:val="0"/>
          <w:lang w:val="en-US"/>
        </w:rPr>
        <w:t xml:space="preserve">, </w:t>
      </w:r>
      <w:r>
        <w:rPr>
          <w:iCs/>
          <w:snapToGrid w:val="0"/>
          <w:u w:val="single"/>
          <w:lang w:val="en-US"/>
        </w:rPr>
        <w:t>PHC Nusantara 2019</w:t>
      </w:r>
      <w:r>
        <w:rPr>
          <w:iCs/>
          <w:snapToGrid w:val="0"/>
          <w:lang w:val="en-US"/>
        </w:rPr>
        <w:t xml:space="preserve"> program (Indonesia), coordinated by A. Tarazi, January 2019-January 2021.</w:t>
      </w:r>
    </w:p>
    <w:p w:rsidR="00EA5C49" w:rsidRDefault="00EA5C49" w:rsidP="00EA5C49">
      <w:pPr>
        <w:tabs>
          <w:tab w:val="left" w:pos="1701"/>
          <w:tab w:val="left" w:pos="1927"/>
        </w:tabs>
        <w:rPr>
          <w:iCs/>
          <w:snapToGrid w:val="0"/>
          <w:lang w:val="en-US"/>
        </w:rPr>
      </w:pPr>
      <w:r>
        <w:rPr>
          <w:iCs/>
          <w:snapToGrid w:val="0"/>
          <w:lang w:val="en-US"/>
        </w:rPr>
        <w:t>• "</w:t>
      </w:r>
      <w:r>
        <w:rPr>
          <w:i/>
          <w:iCs/>
          <w:snapToGrid w:val="0"/>
          <w:lang w:val="en-US"/>
        </w:rPr>
        <w:t>The Implications of Fintech development on the Financial industry in France and Malaysia: a game theory approach"</w:t>
      </w:r>
      <w:r>
        <w:rPr>
          <w:iCs/>
          <w:snapToGrid w:val="0"/>
          <w:lang w:val="en-US"/>
        </w:rPr>
        <w:t xml:space="preserve">, </w:t>
      </w:r>
      <w:r>
        <w:rPr>
          <w:iCs/>
          <w:snapToGrid w:val="0"/>
          <w:u w:val="single"/>
          <w:lang w:val="en-US"/>
        </w:rPr>
        <w:t>PHC Hibiscus 2019</w:t>
      </w:r>
      <w:r>
        <w:rPr>
          <w:iCs/>
          <w:snapToGrid w:val="0"/>
          <w:lang w:val="en-US"/>
        </w:rPr>
        <w:t xml:space="preserve"> program (Malaysia), coordinated by A. Tarazi, July 2019-July 2021. </w:t>
      </w:r>
    </w:p>
    <w:p w:rsidR="00FA15A5" w:rsidRDefault="00EA5C49" w:rsidP="00EA5C49">
      <w:pPr>
        <w:tabs>
          <w:tab w:val="left" w:pos="1701"/>
          <w:tab w:val="left" w:pos="1927"/>
        </w:tabs>
        <w:rPr>
          <w:iCs/>
          <w:snapToGrid w:val="0"/>
          <w:lang w:val="en-US"/>
        </w:rPr>
      </w:pPr>
      <w:r>
        <w:rPr>
          <w:iCs/>
          <w:snapToGrid w:val="0"/>
          <w:lang w:val="en-US"/>
        </w:rPr>
        <w:t xml:space="preserve">• "CaLiBank : The Post-Crisis Banking Industry: How will banks respond to tighter regulatory constraints?”, </w:t>
      </w:r>
      <w:r>
        <w:rPr>
          <w:iCs/>
          <w:snapToGrid w:val="0"/>
          <w:u w:val="single"/>
          <w:lang w:val="en-US"/>
        </w:rPr>
        <w:t>ANR project (French National Research Agency)</w:t>
      </w:r>
      <w:r>
        <w:rPr>
          <w:iCs/>
          <w:snapToGrid w:val="0"/>
          <w:lang w:val="en-US"/>
        </w:rPr>
        <w:t>, 296 076 euros, April 2020-October 2023, project coordinator : A. Tarazi</w:t>
      </w:r>
    </w:p>
    <w:p w:rsidR="006B505C" w:rsidRDefault="006B505C" w:rsidP="00EA5C49">
      <w:pPr>
        <w:tabs>
          <w:tab w:val="left" w:pos="1701"/>
          <w:tab w:val="left" w:pos="1927"/>
        </w:tabs>
        <w:rPr>
          <w:iCs/>
          <w:snapToGrid w:val="0"/>
          <w:lang w:val="en-US"/>
        </w:rPr>
      </w:pPr>
      <w:r>
        <w:rPr>
          <w:iCs/>
          <w:snapToGrid w:val="0"/>
          <w:lang w:val="en-US"/>
        </w:rPr>
        <w:t>• “</w:t>
      </w:r>
      <w:r>
        <w:rPr>
          <w:i/>
          <w:iCs/>
          <w:snapToGrid w:val="0"/>
        </w:rPr>
        <w:fldChar w:fldCharType="begin"/>
      </w:r>
      <w:r>
        <w:rPr>
          <w:i/>
          <w:iCs/>
          <w:snapToGrid w:val="0"/>
          <w:lang w:val="en-US"/>
        </w:rPr>
        <w:instrText xml:space="preserve"> MERGEFIELD Project_Title </w:instrText>
      </w:r>
      <w:r>
        <w:rPr>
          <w:i/>
          <w:iCs/>
          <w:snapToGrid w:val="0"/>
        </w:rPr>
        <w:fldChar w:fldCharType="separate"/>
      </w:r>
      <w:r>
        <w:rPr>
          <w:i/>
          <w:iCs/>
          <w:snapToGrid w:val="0"/>
          <w:lang w:val="en-US"/>
        </w:rPr>
        <w:t>A New Performance Framework of IR 4.0 Spillover Effect to Explain the Relationship between Director Busyness and Corporate Performance</w:t>
      </w:r>
      <w:r>
        <w:rPr>
          <w:iCs/>
          <w:snapToGrid w:val="0"/>
          <w:lang w:val="en-US"/>
        </w:rPr>
        <w:fldChar w:fldCharType="end"/>
      </w:r>
      <w:r>
        <w:rPr>
          <w:i/>
          <w:iCs/>
          <w:snapToGrid w:val="0"/>
          <w:lang w:val="en-US"/>
        </w:rPr>
        <w:t> »</w:t>
      </w:r>
      <w:r>
        <w:rPr>
          <w:iCs/>
          <w:snapToGrid w:val="0"/>
          <w:lang w:val="en-US"/>
        </w:rPr>
        <w:t xml:space="preserve">, </w:t>
      </w:r>
      <w:r>
        <w:rPr>
          <w:iCs/>
          <w:snapToGrid w:val="0"/>
          <w:u w:val="single"/>
          <w:lang w:val="en-US"/>
        </w:rPr>
        <w:t>FRGS Grant</w:t>
      </w:r>
      <w:r>
        <w:rPr>
          <w:iCs/>
          <w:snapToGrid w:val="0"/>
          <w:lang w:val="en-US"/>
        </w:rPr>
        <w:t>, Malaysian government, Nov. 2020-October 2023.</w:t>
      </w:r>
    </w:p>
    <w:p w:rsidR="00136803" w:rsidRPr="00136803" w:rsidRDefault="00136803" w:rsidP="00136803">
      <w:pPr>
        <w:tabs>
          <w:tab w:val="left" w:pos="1701"/>
          <w:tab w:val="left" w:pos="1927"/>
        </w:tabs>
        <w:rPr>
          <w:iCs/>
          <w:snapToGrid w:val="0"/>
          <w:lang w:val="en-US"/>
        </w:rPr>
      </w:pPr>
      <w:r>
        <w:rPr>
          <w:iCs/>
          <w:snapToGrid w:val="0"/>
          <w:lang w:val="en-US"/>
        </w:rPr>
        <w:t>•</w:t>
      </w:r>
      <w:r>
        <w:rPr>
          <w:bCs/>
          <w:i/>
          <w:iCs/>
          <w:snapToGrid w:val="0"/>
          <w:lang w:val="en-US"/>
        </w:rPr>
        <w:t xml:space="preserve"> “Implications of climate change transition risk for the banking industry”</w:t>
      </w:r>
      <w:r>
        <w:rPr>
          <w:bCs/>
          <w:iCs/>
          <w:snapToGrid w:val="0"/>
          <w:lang w:val="en-US"/>
        </w:rPr>
        <w:t xml:space="preserve">, </w:t>
      </w:r>
      <w:r>
        <w:rPr>
          <w:bCs/>
          <w:iCs/>
          <w:snapToGrid w:val="0"/>
          <w:u w:val="single"/>
          <w:lang w:val="en-US"/>
        </w:rPr>
        <w:t>MyTIGER 2023 Grant</w:t>
      </w:r>
      <w:r>
        <w:rPr>
          <w:bCs/>
          <w:iCs/>
          <w:snapToGrid w:val="0"/>
          <w:lang w:val="en-US"/>
        </w:rPr>
        <w:t xml:space="preserve">, Nov. 2022-December 2024, </w:t>
      </w:r>
      <w:r>
        <w:rPr>
          <w:iCs/>
          <w:snapToGrid w:val="0"/>
          <w:lang w:val="en-US"/>
        </w:rPr>
        <w:t>Principal Investigator: A. Tarazi</w:t>
      </w:r>
      <w:r>
        <w:rPr>
          <w:bCs/>
          <w:iCs/>
          <w:snapToGrid w:val="0"/>
          <w:lang w:val="en-US"/>
        </w:rPr>
        <w:t xml:space="preserve">. </w:t>
      </w:r>
    </w:p>
    <w:p w:rsidR="000C3790" w:rsidRDefault="000C3790" w:rsidP="000C3790">
      <w:pPr>
        <w:tabs>
          <w:tab w:val="left" w:pos="1701"/>
          <w:tab w:val="left" w:pos="1927"/>
        </w:tabs>
        <w:rPr>
          <w:bCs/>
          <w:iCs/>
          <w:snapToGrid w:val="0"/>
          <w:lang w:val="en-US"/>
        </w:rPr>
      </w:pPr>
      <w:r>
        <w:rPr>
          <w:iCs/>
          <w:snapToGrid w:val="0"/>
          <w:lang w:val="en-US"/>
        </w:rPr>
        <w:t>•</w:t>
      </w:r>
      <w:r>
        <w:rPr>
          <w:bCs/>
          <w:i/>
          <w:iCs/>
          <w:snapToGrid w:val="0"/>
          <w:lang w:val="en-US"/>
        </w:rPr>
        <w:t xml:space="preserve"> “Geopolitical Fault Lines: Tracing the Impact of Geopolitical Tensions on Financial Sector Stability”</w:t>
      </w:r>
      <w:r>
        <w:rPr>
          <w:bCs/>
          <w:iCs/>
          <w:snapToGrid w:val="0"/>
          <w:lang w:val="en-US"/>
        </w:rPr>
        <w:t xml:space="preserve">, British Academy Research Grant SRG 2025 Round (SRG25\250877), Primary applicant: M. Bitar, Co-applicant: A. Tarazi, Sept. 2025-Sept-2027. </w:t>
      </w:r>
    </w:p>
    <w:p w:rsidR="005C01E5" w:rsidRDefault="005C01E5" w:rsidP="005C01E5">
      <w:pPr>
        <w:tabs>
          <w:tab w:val="left" w:pos="1701"/>
          <w:tab w:val="left" w:pos="1927"/>
        </w:tabs>
        <w:rPr>
          <w:iCs/>
          <w:snapToGrid w:val="0"/>
          <w:lang w:val="en-US"/>
        </w:rPr>
      </w:pPr>
      <w:r>
        <w:rPr>
          <w:iCs/>
          <w:snapToGrid w:val="0"/>
          <w:lang w:val="en-US"/>
        </w:rPr>
        <w:t xml:space="preserve">• </w:t>
      </w:r>
      <w:r>
        <w:rPr>
          <w:i/>
          <w:iCs/>
          <w:snapToGrid w:val="0"/>
          <w:lang w:val="en-US"/>
        </w:rPr>
        <w:t>" Universal banking risk-taking strategy in the Era of AI and Sustainability challenges”</w:t>
      </w:r>
      <w:r>
        <w:rPr>
          <w:iCs/>
          <w:snapToGrid w:val="0"/>
          <w:lang w:val="en-US"/>
        </w:rPr>
        <w:t xml:space="preserve">, research contract with </w:t>
      </w:r>
      <w:r>
        <w:rPr>
          <w:iCs/>
          <w:snapToGrid w:val="0"/>
          <w:u w:val="single"/>
          <w:lang w:val="en-US"/>
        </w:rPr>
        <w:t>BRED Banque Populaire</w:t>
      </w:r>
      <w:r>
        <w:rPr>
          <w:iCs/>
          <w:snapToGrid w:val="0"/>
          <w:lang w:val="en-US"/>
        </w:rPr>
        <w:t>, coordinated by A. Tarazi, April 2026-April 2029.</w:t>
      </w:r>
    </w:p>
    <w:p w:rsidR="001C79DC" w:rsidRPr="00691823" w:rsidRDefault="001C79DC" w:rsidP="001C79DC">
      <w:pPr>
        <w:rPr>
          <w:bCs/>
          <w:iCs/>
        </w:rPr>
      </w:pPr>
      <w:r>
        <w:t xml:space="preserve">• </w:t>
      </w:r>
      <w:r>
        <w:rPr>
          <w:i/>
          <w:iCs/>
        </w:rPr>
        <w:t>"</w:t>
      </w:r>
      <w:r>
        <w:rPr>
          <w:bCs/>
          <w:i/>
        </w:rPr>
        <w:t>Evaluation et cartographie mondiale des risques bancaires : une approche à 360°</w:t>
      </w:r>
      <w:r>
        <w:rPr>
          <w:bCs/>
          <w:iCs/>
        </w:rPr>
        <w:t xml:space="preserve"> », </w:t>
      </w:r>
      <w:r>
        <w:rPr>
          <w:bCs/>
          <w:iCs/>
          <w:u w:val="single"/>
        </w:rPr>
        <w:t>AAP Nouvelle Aquitaine</w:t>
      </w:r>
      <w:r>
        <w:rPr>
          <w:bCs/>
          <w:iCs/>
        </w:rPr>
        <w:t xml:space="preserve">, coordinated by A. Tarazi, contribution de </w:t>
      </w:r>
      <w:r>
        <w:t>€</w:t>
      </w:r>
      <w:r>
        <w:rPr>
          <w:bCs/>
          <w:iCs/>
        </w:rPr>
        <w:t>102k y compris financement thèse, septembre 2026-septembre 2029.</w:t>
      </w:r>
    </w:p>
    <w:p w:rsidR="001C79DC" w:rsidRPr="001C79DC" w:rsidRDefault="001C79DC" w:rsidP="005C01E5">
      <w:pPr>
        <w:tabs>
          <w:tab w:val="left" w:pos="1701"/>
          <w:tab w:val="left" w:pos="1927"/>
        </w:tabs>
        <w:rPr>
          <w:iCs/>
          <w:snapToGrid w:val="0"/>
        </w:rPr>
      </w:pPr>
    </w:p>
    <w:p w:rsidR="005C01E5" w:rsidRPr="001C79DC" w:rsidRDefault="005C01E5" w:rsidP="005C01E5">
      <w:pPr>
        <w:tabs>
          <w:tab w:val="left" w:pos="1701"/>
          <w:tab w:val="left" w:pos="1927"/>
        </w:tabs>
        <w:rPr>
          <w:iCs/>
          <w:snapToGrid w:val="0"/>
        </w:rPr>
      </w:pPr>
    </w:p>
    <w:p w:rsidR="00136803" w:rsidRPr="001C79DC" w:rsidRDefault="00136803" w:rsidP="00EA5C49">
      <w:pPr>
        <w:tabs>
          <w:tab w:val="left" w:pos="1701"/>
          <w:tab w:val="left" w:pos="1927"/>
        </w:tabs>
        <w:rPr>
          <w:iCs/>
          <w:snapToGrid w:val="0"/>
        </w:rPr>
      </w:pPr>
    </w:p>
    <w:p w:rsidR="00EA5C49" w:rsidRPr="001C79DC" w:rsidRDefault="00EA5C49" w:rsidP="000B0C52">
      <w:pPr>
        <w:tabs>
          <w:tab w:val="left" w:pos="1701"/>
          <w:tab w:val="left" w:pos="1927"/>
        </w:tabs>
        <w:ind w:left="-284"/>
        <w:rPr>
          <w:b/>
          <w:u w:val="single"/>
        </w:rPr>
      </w:pPr>
    </w:p>
    <w:p w:rsidR="000B0C52" w:rsidRPr="000B0C52" w:rsidRDefault="006E36AB" w:rsidP="000B0C52">
      <w:pPr>
        <w:tabs>
          <w:tab w:val="left" w:pos="1701"/>
          <w:tab w:val="left" w:pos="1927"/>
        </w:tabs>
        <w:ind w:left="-284"/>
        <w:rPr>
          <w:iCs/>
          <w:snapToGrid w:val="0"/>
        </w:rPr>
      </w:pPr>
      <w:r>
        <w:rPr>
          <w:b/>
          <w:u w:val="single"/>
        </w:rPr>
        <w:t>Organisation de Séminaires, Workshops et Conférences</w:t>
      </w:r>
    </w:p>
    <w:p w:rsidR="000B0C52" w:rsidRPr="000B0C52" w:rsidRDefault="000B0C52" w:rsidP="000B0C52">
      <w:r>
        <w:t>• Organisation du séminaire doctoral annuel en collaboration avec l'Université de Poitiers (1994-2004)</w:t>
      </w:r>
    </w:p>
    <w:p w:rsidR="000B0C52" w:rsidRDefault="000B0C52" w:rsidP="000B0C52">
      <w:r>
        <w:t>• Organisation du "Bank Seminar", Université de Limoges, (2005 -    ).</w:t>
      </w:r>
    </w:p>
    <w:p w:rsidR="00B76306" w:rsidRPr="00EA5C49" w:rsidRDefault="00B76306" w:rsidP="000B0C52">
      <w:pPr>
        <w:rPr>
          <w:lang w:val="en-US"/>
        </w:rPr>
      </w:pPr>
      <w:r>
        <w:rPr>
          <w:lang w:val="en-US"/>
        </w:rPr>
        <w:t>• Responsable du « France-Philippines Research Network in Banking and Finance »</w:t>
      </w:r>
    </w:p>
    <w:p w:rsidR="000B0C52" w:rsidRPr="003359E8" w:rsidRDefault="000B0C52" w:rsidP="000B0C52">
      <w:r>
        <w:t>• Responsable scientifique du Workshop « Issues in Banking and Finance » organisé à l’Université de Limoges en collaboration avec l’Université des Philippines, juin 2001</w:t>
      </w:r>
    </w:p>
    <w:p w:rsidR="000B0C52" w:rsidRPr="00D01806" w:rsidRDefault="000B0C52" w:rsidP="000B0C52">
      <w:pPr>
        <w:rPr>
          <w:lang w:val="en-GB"/>
        </w:rPr>
      </w:pPr>
      <w:r>
        <w:rPr>
          <w:lang w:val="en-GB"/>
        </w:rPr>
        <w:t xml:space="preserve">• Responsable scientifique du Workshop « Safety and Efficiency of the Financial System », Université de Limoges, 19-20 September 2006. </w:t>
      </w:r>
    </w:p>
    <w:p w:rsidR="000B0C52" w:rsidRPr="00D01806" w:rsidRDefault="000B0C52" w:rsidP="000B0C52">
      <w:pPr>
        <w:rPr>
          <w:lang w:val="en-GB"/>
        </w:rPr>
      </w:pPr>
      <w:r>
        <w:rPr>
          <w:lang w:val="en-GB"/>
        </w:rPr>
        <w:t>• Responsable scientifique de la Conference “Safety and Efficiency of the Financial System”, Manila, 27 August 2007.</w:t>
      </w:r>
    </w:p>
    <w:p w:rsidR="000B0C52" w:rsidRPr="00D01806" w:rsidRDefault="000B0C52" w:rsidP="000B0C52">
      <w:pPr>
        <w:rPr>
          <w:lang w:val="en-GB"/>
        </w:rPr>
      </w:pPr>
      <w:r>
        <w:rPr>
          <w:lang w:val="en-GB"/>
        </w:rPr>
        <w:t>• Responsable scientifique du Workshop “Bank Structure, Competition, and Risk”, Université de Limoges, 27 November 2008.</w:t>
      </w:r>
    </w:p>
    <w:p w:rsidR="000B0C52" w:rsidRPr="00D01806" w:rsidRDefault="000B0C52" w:rsidP="000B0C52">
      <w:pPr>
        <w:rPr>
          <w:lang w:val="en-GB"/>
        </w:rPr>
      </w:pPr>
      <w:r>
        <w:rPr>
          <w:lang w:val="en-GB"/>
        </w:rPr>
        <w:t xml:space="preserve">• Responsable scientifique du Workshop “Issues in Banking and Governance", Université de Limoges, 9 November 2011. </w:t>
      </w:r>
    </w:p>
    <w:p w:rsidR="000B0C52" w:rsidRPr="00EA5C49" w:rsidRDefault="000B0C52" w:rsidP="000B0C52">
      <w:pPr>
        <w:rPr>
          <w:lang w:val="en-US"/>
        </w:rPr>
      </w:pPr>
      <w:r>
        <w:rPr>
          <w:lang w:val="en-US"/>
        </w:rPr>
        <w:t>• Partenaire/Organisateur de la Summer School "</w:t>
      </w:r>
      <w:r>
        <w:rPr>
          <w:bCs/>
          <w:lang w:val="en-US"/>
        </w:rPr>
        <w:t>Estimation of Efficiency and Competition in Banking", 4-8 July 2011 and "</w:t>
      </w:r>
      <w:r>
        <w:rPr>
          <w:lang w:val="en-US"/>
        </w:rPr>
        <w:t>Microeconomics &amp; Microeconometrics of banking" July 2012, University of Rome III.</w:t>
      </w:r>
    </w:p>
    <w:p w:rsidR="000B0C52" w:rsidRPr="00EA5C49" w:rsidRDefault="000B0C52" w:rsidP="000B0C52">
      <w:pPr>
        <w:rPr>
          <w:lang w:val="en-US"/>
        </w:rPr>
      </w:pPr>
      <w:r>
        <w:rPr>
          <w:lang w:val="en-US"/>
        </w:rPr>
        <w:t xml:space="preserve">• Organisateur et responsable scientifique du LAPE-FINEST  2013 Spring Workshop "The Never Ending Crisis", Limoges, 28 mai 2013. </w:t>
      </w:r>
    </w:p>
    <w:p w:rsidR="000B0C52" w:rsidRPr="00EA5C49" w:rsidRDefault="000B0C52" w:rsidP="000B0C52">
      <w:pPr>
        <w:rPr>
          <w:lang w:val="en-US"/>
        </w:rPr>
      </w:pPr>
      <w:r>
        <w:rPr>
          <w:lang w:val="en-US"/>
        </w:rPr>
        <w:t>• Organisateur (en partenariat) et co-responsable scientifique (steering committee) de la 8</w:t>
      </w:r>
      <w:r>
        <w:rPr>
          <w:vertAlign w:val="superscript"/>
          <w:lang w:val="en-US"/>
        </w:rPr>
        <w:t>th</w:t>
      </w:r>
      <w:r>
        <w:rPr>
          <w:lang w:val="en-US"/>
        </w:rPr>
        <w:t xml:space="preserve"> Conference on Risk, Banking and Financial Stability, Bali, September 24-27, 2013. </w:t>
      </w:r>
    </w:p>
    <w:p w:rsidR="000B0C52" w:rsidRPr="00EA5C49" w:rsidRDefault="000B0C52" w:rsidP="000B0C52">
      <w:pPr>
        <w:tabs>
          <w:tab w:val="left" w:pos="1701"/>
          <w:tab w:val="left" w:pos="1927"/>
        </w:tabs>
        <w:rPr>
          <w:lang w:val="en-US"/>
        </w:rPr>
      </w:pPr>
      <w:r>
        <w:rPr>
          <w:lang w:val="en-US"/>
        </w:rPr>
        <w:t>• Co-Chair of program committee, 2014 Asian Finance Association Conference (Asian FA), Bali, June 24-26, 2014.</w:t>
      </w:r>
    </w:p>
    <w:p w:rsidR="00440E07" w:rsidRPr="00EA5C49" w:rsidRDefault="00440E07" w:rsidP="00440E07">
      <w:pPr>
        <w:tabs>
          <w:tab w:val="left" w:pos="1701"/>
          <w:tab w:val="left" w:pos="1927"/>
        </w:tabs>
        <w:rPr>
          <w:iCs/>
          <w:snapToGrid w:val="0"/>
          <w:lang w:val="en-US"/>
        </w:rPr>
      </w:pPr>
      <w:r>
        <w:rPr>
          <w:iCs/>
          <w:snapToGrid w:val="0"/>
          <w:lang w:val="en-US"/>
        </w:rPr>
        <w:lastRenderedPageBreak/>
        <w:t>• Organisateur et responsable scientifique du LAPE-FINEST 2015 Spring Workshop "</w:t>
      </w:r>
      <w:r>
        <w:rPr>
          <w:bCs/>
          <w:iCs/>
          <w:snapToGrid w:val="0"/>
          <w:lang w:val="en-US"/>
        </w:rPr>
        <w:t>The post-crisis banking industry: how will banks respond to tighter regulatory constraints?"</w:t>
      </w:r>
      <w:r>
        <w:rPr>
          <w:iCs/>
          <w:snapToGrid w:val="0"/>
          <w:lang w:val="en-US"/>
        </w:rPr>
        <w:t xml:space="preserve">, Limoges, June 9, 2015. </w:t>
      </w:r>
    </w:p>
    <w:p w:rsidR="00063199" w:rsidRPr="00EA5C49" w:rsidRDefault="00063199" w:rsidP="00063199">
      <w:pPr>
        <w:rPr>
          <w:bCs/>
          <w:iCs/>
          <w:lang w:val="en-US"/>
        </w:rPr>
      </w:pPr>
      <w:r>
        <w:rPr>
          <w:iCs/>
          <w:snapToGrid w:val="0"/>
          <w:lang w:val="en-US"/>
        </w:rPr>
        <w:t>•</w:t>
      </w:r>
      <w:r>
        <w:rPr>
          <w:iCs/>
          <w:lang w:val="en-US"/>
        </w:rPr>
        <w:t xml:space="preserve"> Organisateur et responsable scientifique du </w:t>
      </w:r>
      <w:r>
        <w:rPr>
          <w:bCs/>
          <w:iCs/>
          <w:lang w:val="en-US"/>
        </w:rPr>
        <w:t xml:space="preserve">2017 Bank Colloquium for Junior Researchers - "The Future of Bank Regulation", LAPE-FINEST, Limoges, June 28, 2017. </w:t>
      </w:r>
    </w:p>
    <w:p w:rsidR="00045006" w:rsidRPr="00EA5C49" w:rsidRDefault="00045006" w:rsidP="00045006">
      <w:pPr>
        <w:rPr>
          <w:bCs/>
          <w:iCs/>
          <w:lang w:val="en-US"/>
        </w:rPr>
      </w:pPr>
      <w:r>
        <w:rPr>
          <w:iCs/>
          <w:snapToGrid w:val="0"/>
          <w:lang w:val="en-US"/>
        </w:rPr>
        <w:t xml:space="preserve">• </w:t>
      </w:r>
      <w:r>
        <w:rPr>
          <w:bCs/>
          <w:iCs/>
          <w:lang w:val="en-US"/>
        </w:rPr>
        <w:t>Co-Organisateur (en partenariat) de la  2nd International Conference on Finance, Banking, and Financial Stability (SMARTFAB), Bali, 17-19 July 2018.</w:t>
      </w:r>
    </w:p>
    <w:p w:rsidR="00F85D98" w:rsidRPr="00EA5C49" w:rsidRDefault="007855A3" w:rsidP="00F85D98">
      <w:pPr>
        <w:rPr>
          <w:bCs/>
          <w:iCs/>
          <w:lang w:val="en-US"/>
        </w:rPr>
      </w:pPr>
      <w:r>
        <w:rPr>
          <w:iCs/>
          <w:snapToGrid w:val="0"/>
          <w:lang w:val="en-US"/>
        </w:rPr>
        <w:t xml:space="preserve">• </w:t>
      </w:r>
      <w:r>
        <w:rPr>
          <w:bCs/>
          <w:iCs/>
          <w:lang w:val="en-US"/>
        </w:rPr>
        <w:t>Co-Organisateur, 2018 OPTBANK Summer School "Regulation and Risk Management in</w:t>
      </w:r>
    </w:p>
    <w:p w:rsidR="00F85D98" w:rsidRPr="0089062F" w:rsidRDefault="00F85D98" w:rsidP="00F85D98">
      <w:pPr>
        <w:rPr>
          <w:iCs/>
          <w:lang w:val="en-US"/>
        </w:rPr>
      </w:pPr>
      <w:r>
        <w:rPr>
          <w:bCs/>
          <w:iCs/>
          <w:lang w:val="en-US"/>
        </w:rPr>
        <w:t xml:space="preserve">Financial Intermediation", Rome, </w:t>
      </w:r>
      <w:r>
        <w:rPr>
          <w:iCs/>
          <w:lang w:val="en-US"/>
        </w:rPr>
        <w:t>4-15 June 2018.</w:t>
      </w:r>
    </w:p>
    <w:p w:rsidR="007855A3" w:rsidRPr="00EA5C49" w:rsidRDefault="007855A3" w:rsidP="00F85D98">
      <w:pPr>
        <w:rPr>
          <w:iCs/>
          <w:lang w:val="en-US"/>
        </w:rPr>
      </w:pPr>
      <w:r>
        <w:rPr>
          <w:iCs/>
          <w:lang w:val="en-US"/>
        </w:rPr>
        <w:t>• Organisateur et responsable scientifique du LAPE-FINEST 2019 Spring Workshop "</w:t>
      </w:r>
      <w:r>
        <w:rPr>
          <w:bCs/>
          <w:iCs/>
          <w:lang w:val="en-US"/>
        </w:rPr>
        <w:t>Bank performance and financial stability "</w:t>
      </w:r>
      <w:r>
        <w:rPr>
          <w:iCs/>
          <w:lang w:val="en-US"/>
        </w:rPr>
        <w:t>, Limoges, June 5, 2019.</w:t>
      </w:r>
    </w:p>
    <w:p w:rsidR="007855A3" w:rsidRDefault="007855A3" w:rsidP="007855A3">
      <w:pPr>
        <w:rPr>
          <w:iCs/>
          <w:lang w:val="en-US"/>
        </w:rPr>
      </w:pPr>
      <w:r>
        <w:rPr>
          <w:iCs/>
          <w:snapToGrid w:val="0"/>
          <w:lang w:val="en-US"/>
        </w:rPr>
        <w:t xml:space="preserve">• </w:t>
      </w:r>
      <w:r>
        <w:rPr>
          <w:bCs/>
          <w:iCs/>
          <w:lang w:val="en-US"/>
        </w:rPr>
        <w:t xml:space="preserve">Organisateur, 2019 OPTBANK Summer School "Banking and Financial Intermediation", Limoges, </w:t>
      </w:r>
      <w:r>
        <w:rPr>
          <w:iCs/>
          <w:lang w:val="en-US"/>
        </w:rPr>
        <w:t>3-14 June 2019.</w:t>
      </w:r>
    </w:p>
    <w:p w:rsidR="004429C9" w:rsidRDefault="004429C9" w:rsidP="007855A3">
      <w:pPr>
        <w:rPr>
          <w:iCs/>
          <w:lang w:val="en-US"/>
        </w:rPr>
      </w:pPr>
      <w:r>
        <w:rPr>
          <w:iCs/>
          <w:snapToGrid w:val="0"/>
          <w:lang w:val="en-US"/>
        </w:rPr>
        <w:t>•</w:t>
      </w:r>
      <w:r>
        <w:rPr>
          <w:iCs/>
          <w:lang w:val="en-US"/>
        </w:rPr>
        <w:t xml:space="preserve"> Organisateur et responsable scientifique, 2021 ANR CaLiBank Project Workshop “The Post-Crisis Banking Industry : How will banks respond to tighter regulatory constraints”, Limoges, January 25, 2021. </w:t>
      </w:r>
    </w:p>
    <w:p w:rsidR="004429C9" w:rsidRPr="004429C9" w:rsidRDefault="004429C9" w:rsidP="004429C9">
      <w:pPr>
        <w:rPr>
          <w:iCs/>
          <w:lang w:val="en-US"/>
        </w:rPr>
      </w:pPr>
      <w:r>
        <w:rPr>
          <w:iCs/>
          <w:snapToGrid w:val="0"/>
          <w:lang w:val="en-US"/>
        </w:rPr>
        <w:t>•</w:t>
      </w:r>
      <w:r>
        <w:rPr>
          <w:iCs/>
          <w:lang w:val="en-US"/>
        </w:rPr>
        <w:t xml:space="preserve"> Organisateur et responsable scientifique, 2021 AAP/ANR CaLiBank Workshop “Prudential Regulation and Economic Performance”, Limoges, May 25, 2021.</w:t>
      </w:r>
    </w:p>
    <w:p w:rsidR="00B71EBA" w:rsidRPr="004429C9" w:rsidRDefault="004429C9" w:rsidP="004429C9">
      <w:pPr>
        <w:rPr>
          <w:iCs/>
          <w:lang w:val="en-US"/>
        </w:rPr>
      </w:pPr>
      <w:r>
        <w:rPr>
          <w:iCs/>
          <w:snapToGrid w:val="0"/>
          <w:lang w:val="en-US"/>
        </w:rPr>
        <w:t xml:space="preserve">• Organisateur, </w:t>
      </w:r>
      <w:r>
        <w:rPr>
          <w:iCs/>
          <w:lang w:val="en-US"/>
        </w:rPr>
        <w:t xml:space="preserve">2021 LAPE ANR CaLiBank PhD Summer School, Limoges, 25 May-3 June 2021. </w:t>
      </w:r>
    </w:p>
    <w:p w:rsidR="00B71EBA" w:rsidRDefault="00B71EBA" w:rsidP="00B71EBA">
      <w:pPr>
        <w:rPr>
          <w:iCs/>
          <w:lang w:val="en-US"/>
        </w:rPr>
      </w:pPr>
      <w:r>
        <w:rPr>
          <w:iCs/>
          <w:lang w:val="en-US"/>
        </w:rPr>
        <w:t>• Organisateur et responsable scientifique du LAPE-FINEST 2022 Spring Workshop "</w:t>
      </w:r>
      <w:r>
        <w:rPr>
          <w:bCs/>
          <w:iCs/>
          <w:lang w:val="en-US"/>
        </w:rPr>
        <w:t>Changes in banking, risk and financial stability"</w:t>
      </w:r>
      <w:r>
        <w:rPr>
          <w:iCs/>
          <w:lang w:val="en-US"/>
        </w:rPr>
        <w:t>, Limoges, June 1, 2022.</w:t>
      </w:r>
    </w:p>
    <w:p w:rsidR="00CF178A" w:rsidRPr="00B71EBA" w:rsidRDefault="00CF178A" w:rsidP="00B71EBA">
      <w:pPr>
        <w:rPr>
          <w:iCs/>
          <w:lang w:val="en-US"/>
        </w:rPr>
      </w:pPr>
      <w:r>
        <w:rPr>
          <w:iCs/>
          <w:snapToGrid w:val="0"/>
          <w:lang w:val="en-US"/>
        </w:rPr>
        <w:t xml:space="preserve">• Organisateur, </w:t>
      </w:r>
      <w:r>
        <w:rPr>
          <w:iCs/>
          <w:lang w:val="en-US"/>
        </w:rPr>
        <w:t>2022 LAPE ANR CaLiBank PhD Summer School, Limoges, 30 May-4 June 2022.</w:t>
      </w:r>
    </w:p>
    <w:p w:rsidR="00CD1986" w:rsidRPr="00CD1986" w:rsidRDefault="00CD1986" w:rsidP="00CD1986">
      <w:pPr>
        <w:rPr>
          <w:iCs/>
        </w:rPr>
      </w:pPr>
      <w:r>
        <w:rPr>
          <w:iCs/>
        </w:rPr>
        <w:t>• Organisateur et responsable scientifique du 2023 LAPE AAP ANR Workshop "</w:t>
      </w:r>
      <w:r>
        <w:rPr>
          <w:bCs/>
          <w:iCs/>
        </w:rPr>
        <w:t>Governance and Financial Stability"</w:t>
      </w:r>
      <w:r>
        <w:rPr>
          <w:iCs/>
        </w:rPr>
        <w:t>, Limoges, June 7, 2023.</w:t>
      </w:r>
    </w:p>
    <w:p w:rsidR="00CD1986" w:rsidRDefault="00CD1986" w:rsidP="00CD1986">
      <w:pPr>
        <w:rPr>
          <w:iCs/>
          <w:lang w:val="en-US"/>
        </w:rPr>
      </w:pPr>
      <w:r>
        <w:rPr>
          <w:iCs/>
          <w:snapToGrid w:val="0"/>
          <w:lang w:val="en-US"/>
        </w:rPr>
        <w:t xml:space="preserve">• Organisateur, </w:t>
      </w:r>
      <w:r>
        <w:rPr>
          <w:iCs/>
          <w:lang w:val="en-US"/>
        </w:rPr>
        <w:t>2023 LAPE AAP ANR PhD Summer School, Limoges, 5-8 June 2023.</w:t>
      </w:r>
    </w:p>
    <w:p w:rsidR="00892800" w:rsidRDefault="00892800" w:rsidP="00892800">
      <w:pPr>
        <w:rPr>
          <w:iCs/>
          <w:lang w:val="en-US"/>
        </w:rPr>
      </w:pPr>
      <w:r>
        <w:rPr>
          <w:iCs/>
          <w:snapToGrid w:val="0"/>
          <w:lang w:val="en-US"/>
        </w:rPr>
        <w:t>•</w:t>
      </w:r>
      <w:r>
        <w:rPr>
          <w:lang w:val="en-US"/>
        </w:rPr>
        <w:t xml:space="preserve"> </w:t>
      </w:r>
      <w:r>
        <w:rPr>
          <w:iCs/>
          <w:lang w:val="en-US"/>
        </w:rPr>
        <w:t>Organisateur et responsable scientifique du LAPE-FINEST 2024 Spring Workshop "</w:t>
      </w:r>
      <w:r>
        <w:rPr>
          <w:bCs/>
          <w:iCs/>
          <w:lang w:val="en-US"/>
        </w:rPr>
        <w:t>Banking Performance and Financial Stability in the Era of Responsible Banking"</w:t>
      </w:r>
      <w:r>
        <w:rPr>
          <w:iCs/>
          <w:lang w:val="en-US"/>
        </w:rPr>
        <w:t>, Limoges, June 6, 2024.</w:t>
      </w:r>
    </w:p>
    <w:p w:rsidR="000A2618" w:rsidRDefault="000A2618" w:rsidP="000A2618">
      <w:pPr>
        <w:rPr>
          <w:iCs/>
          <w:lang w:val="en-US"/>
        </w:rPr>
      </w:pPr>
      <w:r>
        <w:rPr>
          <w:iCs/>
          <w:snapToGrid w:val="0"/>
          <w:lang w:val="en-US"/>
        </w:rPr>
        <w:t xml:space="preserve">• Organisateur, </w:t>
      </w:r>
      <w:r>
        <w:rPr>
          <w:iCs/>
          <w:lang w:val="en-US"/>
        </w:rPr>
        <w:t>2025 LAPE PhD Summer School, Limoges, 10-14 June 2025.</w:t>
      </w:r>
    </w:p>
    <w:p w:rsidR="000A2618" w:rsidRDefault="000A2618" w:rsidP="000A2618">
      <w:pPr>
        <w:rPr>
          <w:iCs/>
          <w:lang w:val="en-US"/>
        </w:rPr>
      </w:pPr>
      <w:r>
        <w:rPr>
          <w:iCs/>
          <w:snapToGrid w:val="0"/>
          <w:lang w:val="en-US"/>
        </w:rPr>
        <w:t>•</w:t>
      </w:r>
      <w:r>
        <w:rPr>
          <w:lang w:val="en-US"/>
        </w:rPr>
        <w:t xml:space="preserve"> </w:t>
      </w:r>
      <w:r>
        <w:rPr>
          <w:iCs/>
          <w:lang w:val="en-US"/>
        </w:rPr>
        <w:t>Organisateur et responsable scientifique du LAPE 2025 Spring Workshop "</w:t>
      </w:r>
      <w:r>
        <w:rPr>
          <w:bCs/>
          <w:iCs/>
          <w:lang w:val="en-US"/>
        </w:rPr>
        <w:t>New Challenges for Banks and Financial Stability"</w:t>
      </w:r>
      <w:r>
        <w:rPr>
          <w:iCs/>
          <w:lang w:val="en-US"/>
        </w:rPr>
        <w:t>, Limoges, June 12, 2025.</w:t>
      </w:r>
    </w:p>
    <w:p w:rsidR="00812CA0" w:rsidRDefault="00812CA0" w:rsidP="00812CA0">
      <w:pPr>
        <w:jc w:val="both"/>
        <w:rPr>
          <w:iCs/>
          <w:lang w:val="en-US"/>
        </w:rPr>
      </w:pPr>
      <w:r>
        <w:rPr>
          <w:iCs/>
          <w:lang w:val="en-US"/>
        </w:rPr>
        <w:t>• Organisateur, 2026 LAPE PhD Summer School, Limoges, 1-6 June 2026.</w:t>
      </w:r>
    </w:p>
    <w:p w:rsidR="00812CA0" w:rsidRPr="00812CA0" w:rsidRDefault="00812CA0" w:rsidP="00812CA0">
      <w:pPr>
        <w:rPr>
          <w:bCs/>
          <w:iCs/>
          <w:lang w:val="en-US"/>
        </w:rPr>
      </w:pPr>
      <w:r>
        <w:rPr>
          <w:iCs/>
          <w:snapToGrid w:val="0"/>
          <w:lang w:val="en-US"/>
        </w:rPr>
        <w:t>•</w:t>
      </w:r>
      <w:r>
        <w:rPr>
          <w:lang w:val="en-US"/>
        </w:rPr>
        <w:t xml:space="preserve"> </w:t>
      </w:r>
      <w:r>
        <w:rPr>
          <w:iCs/>
          <w:lang w:val="en-US"/>
        </w:rPr>
        <w:t>Organisateur et responsable scientifique du LAPE-FINEST 2026 Spring Workshop "</w:t>
      </w:r>
      <w:r>
        <w:rPr>
          <w:bCs/>
          <w:iCs/>
          <w:lang w:val="en-US"/>
        </w:rPr>
        <w:t>Sustainability, Bank Performance and Financial Stability"</w:t>
      </w:r>
      <w:r>
        <w:rPr>
          <w:iCs/>
          <w:lang w:val="en-US"/>
        </w:rPr>
        <w:t>, Limoges, June 3, 2026.</w:t>
      </w:r>
    </w:p>
    <w:p w:rsidR="00812CA0" w:rsidRPr="00812CA0" w:rsidRDefault="00812CA0" w:rsidP="00812CA0">
      <w:pPr>
        <w:jc w:val="both"/>
        <w:rPr>
          <w:iCs/>
          <w:lang w:val="en-US"/>
        </w:rPr>
      </w:pPr>
    </w:p>
    <w:p w:rsidR="000B0C52" w:rsidRDefault="000B0C52" w:rsidP="00BA0A19">
      <w:pPr>
        <w:jc w:val="both"/>
        <w:rPr>
          <w:lang w:val="en-US"/>
        </w:rPr>
      </w:pPr>
    </w:p>
    <w:p w:rsidR="00B818D4" w:rsidRPr="00EA5C49" w:rsidRDefault="00B818D4" w:rsidP="00BA0A19">
      <w:pPr>
        <w:jc w:val="both"/>
        <w:rPr>
          <w:lang w:val="en-US"/>
        </w:rPr>
      </w:pPr>
    </w:p>
    <w:p w:rsidR="00BA0A19" w:rsidRPr="00BA0A19" w:rsidRDefault="00BA0A19" w:rsidP="00BA0A19">
      <w:pPr>
        <w:ind w:left="-284"/>
        <w:rPr>
          <w:u w:val="single"/>
        </w:rPr>
      </w:pPr>
      <w:r>
        <w:rPr>
          <w:b/>
          <w:u w:val="single"/>
        </w:rPr>
        <w:t>Membre de comités de congrès et colloques sur la période récente (depuis 2010)</w:t>
      </w:r>
      <w:r>
        <w:rPr>
          <w:u w:val="single"/>
        </w:rPr>
        <w:t xml:space="preserve"> </w:t>
      </w:r>
    </w:p>
    <w:p w:rsidR="00995FA5" w:rsidRPr="00995FA5" w:rsidRDefault="00BA0A19" w:rsidP="00995FA5">
      <w:pPr>
        <w:rPr>
          <w:bCs/>
          <w:lang w:val="en-US"/>
        </w:rPr>
      </w:pPr>
      <w:r>
        <w:rPr>
          <w:b/>
          <w:u w:val="single"/>
          <w:lang w:val="en-US"/>
        </w:rPr>
        <w:t>Membre de comités de programme (depuis 2010)</w:t>
      </w:r>
      <w:r>
        <w:rPr>
          <w:b/>
          <w:lang w:val="en-US"/>
        </w:rPr>
        <w:t xml:space="preserve"> :</w:t>
      </w:r>
      <w:r>
        <w:rPr>
          <w:lang w:val="en-US"/>
        </w:rPr>
        <w:t xml:space="preserve"> •Congrès AFSE 2010 et 2011, Paris; •FMA annual meeting 2011, Denver; •SWFA annual conference 2013, March 12-16, 2013 Albuquerque, New Mexico; 2013 Global Finance Conference, 20-22 May, 2013, Monterey; •Membre du organizing committee et du scientific committee de la "VIII annual conference on Risk, Financial Stability and Banking", Journal of Financial Stability, 24-27 September 2013, Bali; • 2014 Global Finance Conference, March 31-April 2, 2014, Dubai; • 2015 Global Finance Conference, 20-22 April, 2015, Hangzhou; • 2015 IBEFA/WEAI Summer meeting, 28 June-2 July 2015, Honolulu; • Federal Reserve of San Francisco Banking conference, 25-26 June 2015, San Francisco; •</w:t>
      </w:r>
      <w:r>
        <w:rPr>
          <w:b/>
          <w:bCs/>
          <w:lang w:val="en-US"/>
        </w:rPr>
        <w:t xml:space="preserve"> </w:t>
      </w:r>
      <w:r>
        <w:rPr>
          <w:bCs/>
          <w:lang w:val="en-US"/>
        </w:rPr>
        <w:t>23rd Annual</w:t>
      </w:r>
      <w:r>
        <w:rPr>
          <w:lang w:val="en-US"/>
        </w:rPr>
        <w:t xml:space="preserve"> Global Finance Conference, 21-23 April 2016, Fresno; • Member of steering committee, 2016 International Rome Conference on Money, Banking and Finance, 1-2 December 2016, Rome; •</w:t>
      </w:r>
      <w:r>
        <w:rPr>
          <w:b/>
          <w:bCs/>
          <w:lang w:val="en-US"/>
        </w:rPr>
        <w:t xml:space="preserve"> </w:t>
      </w:r>
      <w:r>
        <w:rPr>
          <w:bCs/>
          <w:lang w:val="en-US"/>
        </w:rPr>
        <w:t>24th Annual</w:t>
      </w:r>
      <w:r>
        <w:rPr>
          <w:lang w:val="en-US"/>
        </w:rPr>
        <w:t xml:space="preserve"> Global Finance Conference, 4-6 May 2017, Hempstead, New York; • 12th International Conference for Islamic Economics and Finance, 18-19 March 2018, Makkah; •</w:t>
      </w:r>
      <w:r>
        <w:rPr>
          <w:b/>
          <w:bCs/>
          <w:lang w:val="en-US"/>
        </w:rPr>
        <w:t xml:space="preserve"> </w:t>
      </w:r>
      <w:r>
        <w:rPr>
          <w:bCs/>
          <w:lang w:val="en-US"/>
        </w:rPr>
        <w:t>25th Annual</w:t>
      </w:r>
      <w:r>
        <w:rPr>
          <w:lang w:val="en-US"/>
        </w:rPr>
        <w:t xml:space="preserve"> Global Finance Conference, 28-30 May 2018, Paris; • 2018 International Conference on Economics, Business, Management and Corporate Social Responsibility (EBMCSR 2018) 28-30 Sept. 2018, Zhuhai; •</w:t>
      </w:r>
      <w:r>
        <w:rPr>
          <w:bCs/>
          <w:lang w:val="en-US"/>
        </w:rPr>
        <w:t>26th Annual</w:t>
      </w:r>
      <w:r>
        <w:rPr>
          <w:lang w:val="en-US"/>
        </w:rPr>
        <w:t xml:space="preserve"> Global Finance Conference, 5-7 June 2019, Zagreb; •</w:t>
      </w:r>
      <w:r>
        <w:rPr>
          <w:bCs/>
          <w:lang w:val="en-US"/>
        </w:rPr>
        <w:t xml:space="preserve">27th </w:t>
      </w:r>
      <w:r>
        <w:rPr>
          <w:bCs/>
          <w:lang w:val="en-US"/>
        </w:rPr>
        <w:lastRenderedPageBreak/>
        <w:t>Annual</w:t>
      </w:r>
      <w:r>
        <w:rPr>
          <w:lang w:val="en-US"/>
        </w:rPr>
        <w:t xml:space="preserve"> Global Finance Conference, 18-20 May 2020, Hangzhou; •</w:t>
      </w:r>
      <w:r>
        <w:rPr>
          <w:bCs/>
          <w:lang w:val="en-US"/>
        </w:rPr>
        <w:t>28th Annual</w:t>
      </w:r>
      <w:r>
        <w:rPr>
          <w:lang w:val="en-US"/>
        </w:rPr>
        <w:t xml:space="preserve"> Global Finance Conference, 27-29 May 2021 (virtual); •</w:t>
      </w:r>
      <w:r>
        <w:rPr>
          <w:bCs/>
          <w:lang w:val="en-US"/>
        </w:rPr>
        <w:t>30th Annual</w:t>
      </w:r>
      <w:r>
        <w:rPr>
          <w:lang w:val="en-US"/>
        </w:rPr>
        <w:t xml:space="preserve"> Global Finance Conference, 12-14 June 2023 Prosecco, Italy; •</w:t>
      </w:r>
      <w:r>
        <w:rPr>
          <w:bCs/>
          <w:lang w:val="en-US"/>
        </w:rPr>
        <w:t xml:space="preserve">2023 Southern Finance Association Annual Meeting (SFA), 15-18 November 2023, El Conquistador, Fajardo, Puerto Rico ; </w:t>
      </w:r>
      <w:r>
        <w:rPr>
          <w:lang w:val="en-US"/>
        </w:rPr>
        <w:t xml:space="preserve">• </w:t>
      </w:r>
      <w:r>
        <w:rPr>
          <w:bCs/>
          <w:lang w:val="en-US"/>
        </w:rPr>
        <w:t xml:space="preserve">2024 Southern Finance Association Annual Meeting (SFA) 20-23 November, 2024, Palm Beach Gardens, Florida ; </w:t>
      </w:r>
      <w:r>
        <w:rPr>
          <w:lang w:val="en-US"/>
        </w:rPr>
        <w:t>•</w:t>
      </w:r>
      <w:r>
        <w:rPr>
          <w:bCs/>
          <w:lang w:val="en-US"/>
        </w:rPr>
        <w:t>15th conference “Challenges of Europe, Splitz, Croatia, May 2025 ; • The 2025 Sydney Banking and Financial Stability Conference (SBFC2025) 15-16 December 2025, Sydney ; EFMA 2026 annual meeting, 35th Annual Conference, 24- 27 June, 2026, Kristiansand ; • The 2026 Sydney Banking and Financial Stability Conference (SBFC2026) 30 November-1 December 2026, Sydney ;</w:t>
      </w:r>
    </w:p>
    <w:p w:rsidR="00D005A7" w:rsidRPr="00892800" w:rsidRDefault="00D005A7" w:rsidP="00D005A7">
      <w:pPr>
        <w:rPr>
          <w:bCs/>
          <w:lang w:val="en-US"/>
        </w:rPr>
      </w:pPr>
    </w:p>
    <w:p w:rsidR="007F4188" w:rsidRPr="00EA5C49" w:rsidRDefault="007F4188" w:rsidP="000B0C52">
      <w:pPr>
        <w:rPr>
          <w:lang w:val="en-US"/>
        </w:rPr>
      </w:pPr>
    </w:p>
    <w:p w:rsidR="00916FC0" w:rsidRPr="00916FC0" w:rsidRDefault="00BA0A19" w:rsidP="00916FC0">
      <w:pPr>
        <w:rPr>
          <w:bCs/>
          <w:iCs/>
          <w:lang w:val="en-US"/>
        </w:rPr>
      </w:pPr>
      <w:r>
        <w:rPr>
          <w:b/>
          <w:u w:val="single"/>
          <w:lang w:val="en-US"/>
        </w:rPr>
        <w:t>Membre de comités scientifiques (depuis 2010)</w:t>
      </w:r>
      <w:r>
        <w:rPr>
          <w:b/>
          <w:lang w:val="en-US"/>
        </w:rPr>
        <w:t xml:space="preserve"> :</w:t>
      </w:r>
      <w:r>
        <w:rPr>
          <w:lang w:val="en-US"/>
        </w:rPr>
        <w:t xml:space="preserve"> •International Conference on Financial Intermediation, Competition and Risk, IFABS, June 2011, Rome; •"Journées internationales du risque", mai 2011, Niort; •"International Conference on Business and Banking", ICBB, February 2012, Surabaya; •"2nd International Symposium in Computational Economics and Finance", ISCEF, March 2012, Tunis; •"</w:t>
      </w:r>
      <w:r>
        <w:rPr>
          <w:bCs/>
          <w:lang w:val="en-US"/>
        </w:rPr>
        <w:t>29th GdRE Annual International Symposium on Money, Banking and Finance"</w:t>
      </w:r>
      <w:r>
        <w:rPr>
          <w:b/>
          <w:bCs/>
          <w:lang w:val="en-US"/>
        </w:rPr>
        <w:t xml:space="preserve">, </w:t>
      </w:r>
      <w:r>
        <w:rPr>
          <w:bCs/>
          <w:lang w:val="en-US"/>
        </w:rPr>
        <w:t xml:space="preserve">June 2012, Nantes; </w:t>
      </w:r>
      <w:r>
        <w:rPr>
          <w:lang w:val="en-US"/>
        </w:rPr>
        <w:t>•"</w:t>
      </w:r>
      <w:r>
        <w:rPr>
          <w:bCs/>
          <w:lang w:val="en-US"/>
        </w:rPr>
        <w:t xml:space="preserve">Financial Stability, Bank Risk and Regulation in the Light of the Crisis", November 15-16, 2012, Luxembourg; </w:t>
      </w:r>
      <w:r>
        <w:rPr>
          <w:lang w:val="en-US"/>
        </w:rPr>
        <w:t xml:space="preserve">•AIDEA, Italian Management Association Bicentenary Meeting, Special issue of Journal of Banking and Finance, 19-21 September 2013, Lecce; •"Banking, Finance, Money and Institutions: The Post Crisis Era", 2-3 November, 2013, Guildford, Surrey; •"First Paris Financial Management Conference" (PFMC 2013), 16-17 December, 2013, Paris; •"3rd International Conference on Business and Banking", ICBB, 5-7 February 2014, Pattaya; •"3rd International Symposium in Computational Economics and Finance", ISCEF, 10-12 April 2014, Tunis; •"Journées Internationales du Risque", 12 et 13 juin 2014, Niort; • Financial Engineering &amp; Banking Society (FEBS) 2014 International Conference, 21-23 June, 2014, Surrey; •"2nd Paris Financial Management Conference" (PFMC 2014), 15-16 December, 2014, Paris; •FEBS 2015 International Conference, 11-13 June 2015, Nantes; •Indonesian Finance Association 2015 Meeting, 14-15 January 2015, Solo; •10th International Conference on Islamic Economics and Finance (ICIEF), 23-25 March 2015, Doha, Qatar; • 3rd Paris Financial Management Conference (PFMC 2015) 14-15 December 2015, Paris. • </w:t>
      </w:r>
      <w:r>
        <w:rPr>
          <w:bCs/>
          <w:lang w:val="en-GB"/>
        </w:rPr>
        <w:t>1</w:t>
      </w:r>
      <w:r>
        <w:rPr>
          <w:bCs/>
          <w:vertAlign w:val="superscript"/>
          <w:lang w:val="en-GB"/>
        </w:rPr>
        <w:t>st</w:t>
      </w:r>
      <w:r>
        <w:rPr>
          <w:bCs/>
          <w:lang w:val="en-GB"/>
        </w:rPr>
        <w:t xml:space="preserve"> International Conference on Islamic Banking and Finance, 6-7 March 2016, Makkah</w:t>
      </w:r>
      <w:r>
        <w:rPr>
          <w:lang w:val="en-GB"/>
        </w:rPr>
        <w:t xml:space="preserve">; </w:t>
      </w:r>
      <w:r>
        <w:rPr>
          <w:lang w:val="en-US"/>
        </w:rPr>
        <w:t xml:space="preserve">• 2016 International Conference of the Financial Engineering and Banking Society (FEBS), 10-12 June 2016, Malaga; • 2016 International Finance and Banking Society Conference (IFABS), 1-2 June, 2016, Barcelona; •3rd </w:t>
      </w:r>
      <w:r>
        <w:rPr>
          <w:bCs/>
          <w:iCs/>
          <w:lang w:val="en-US"/>
        </w:rPr>
        <w:t xml:space="preserve">International Conference on Economic and Financial Risks, 9-10 June 2016, </w:t>
      </w:r>
      <w:r>
        <w:rPr>
          <w:lang w:val="en-US"/>
        </w:rPr>
        <w:t xml:space="preserve">Niort; • Third Conference on Business, Economics and Social Sciences, Solo, 3-4 August 2016, Solo; • </w:t>
      </w:r>
      <w:r>
        <w:rPr>
          <w:bCs/>
          <w:lang w:val="en-US"/>
        </w:rPr>
        <w:t xml:space="preserve">2016 Portsmouth-Fordham Conference on Banking and Finance, 24-25 September 2016, Portsmouth; </w:t>
      </w:r>
      <w:r>
        <w:rPr>
          <w:lang w:val="en-US"/>
        </w:rPr>
        <w:t xml:space="preserve">• </w:t>
      </w:r>
      <w:r>
        <w:rPr>
          <w:bCs/>
          <w:lang w:val="en-US"/>
        </w:rPr>
        <w:t xml:space="preserve">2017 International Economics and Finance Conference, 11-13 May 2017, </w:t>
      </w:r>
      <w:r>
        <w:rPr>
          <w:sz w:val="22"/>
          <w:szCs w:val="22"/>
          <w:lang w:val="en-US"/>
        </w:rPr>
        <w:t>Kayseri;</w:t>
      </w:r>
      <w:r>
        <w:rPr>
          <w:rFonts w:ascii="Arial" w:hAnsi="Arial" w:cs="Arial"/>
          <w:sz w:val="22"/>
          <w:szCs w:val="22"/>
          <w:lang w:val="en-US"/>
        </w:rPr>
        <w:t xml:space="preserve"> </w:t>
      </w:r>
      <w:r>
        <w:rPr>
          <w:bCs/>
          <w:lang w:val="en-US"/>
        </w:rPr>
        <w:t>• 7</w:t>
      </w:r>
      <w:r>
        <w:rPr>
          <w:bCs/>
          <w:vertAlign w:val="superscript"/>
          <w:lang w:val="en-US"/>
        </w:rPr>
        <w:t>th</w:t>
      </w:r>
      <w:r>
        <w:rPr>
          <w:bCs/>
          <w:lang w:val="en-US"/>
        </w:rPr>
        <w:t xml:space="preserve"> International Conference of the Financial Engineering and Banking Society (FEBS), 1-3 June 2017, Glasgow      • FINEST 5th Anniversary Conference 27-28 September 2017, Trani; • </w:t>
      </w:r>
      <w:r>
        <w:rPr>
          <w:bCs/>
          <w:lang w:val="en-GB"/>
        </w:rPr>
        <w:t xml:space="preserve">Global Conference on Services Management, 3-7 October 2017, Volterra; </w:t>
      </w:r>
      <w:r>
        <w:rPr>
          <w:bCs/>
          <w:lang w:val="en-US"/>
        </w:rPr>
        <w:t>• 2</w:t>
      </w:r>
      <w:r>
        <w:rPr>
          <w:bCs/>
          <w:vertAlign w:val="superscript"/>
          <w:lang w:val="en-US"/>
        </w:rPr>
        <w:t>nd</w:t>
      </w:r>
      <w:r>
        <w:rPr>
          <w:bCs/>
          <w:lang w:val="en-US"/>
        </w:rPr>
        <w:t xml:space="preserve"> Conference on Contemporary Issues in Banking, 12-13 December 2017, St Andrews; </w:t>
      </w:r>
      <w:r>
        <w:rPr>
          <w:lang w:val="en-US"/>
        </w:rPr>
        <w:t xml:space="preserve">•4th </w:t>
      </w:r>
      <w:r>
        <w:rPr>
          <w:bCs/>
          <w:iCs/>
          <w:lang w:val="en-US"/>
        </w:rPr>
        <w:t xml:space="preserve">International Conference on Economic and Financial Risks, 21-22 June 2018, </w:t>
      </w:r>
      <w:r>
        <w:rPr>
          <w:lang w:val="en-US"/>
        </w:rPr>
        <w:t xml:space="preserve">Niort; </w:t>
      </w:r>
      <w:r>
        <w:rPr>
          <w:bCs/>
          <w:iCs/>
          <w:lang w:val="en-US"/>
        </w:rPr>
        <w:t xml:space="preserve">• </w:t>
      </w:r>
      <w:r>
        <w:rPr>
          <w:bCs/>
          <w:lang w:val="en-US"/>
        </w:rPr>
        <w:t>8</w:t>
      </w:r>
      <w:r>
        <w:rPr>
          <w:bCs/>
          <w:vertAlign w:val="superscript"/>
          <w:lang w:val="en-US"/>
        </w:rPr>
        <w:t>th</w:t>
      </w:r>
      <w:r>
        <w:rPr>
          <w:bCs/>
          <w:lang w:val="en-US"/>
        </w:rPr>
        <w:t xml:space="preserve"> International Conference of the Financial Engineering and Banking Society (FEBS), 4-6 June 2018, Rome; </w:t>
      </w:r>
      <w:r>
        <w:rPr>
          <w:bCs/>
          <w:iCs/>
          <w:lang w:val="en-US"/>
        </w:rPr>
        <w:t>• 2nd International Conference on Finance, Banking, and Financial Stability (SMARTFAB), 17-19 July 2018, Bali; • 9</w:t>
      </w:r>
      <w:r>
        <w:rPr>
          <w:bCs/>
          <w:iCs/>
          <w:vertAlign w:val="superscript"/>
          <w:lang w:val="en-US"/>
        </w:rPr>
        <w:t>th</w:t>
      </w:r>
      <w:r>
        <w:rPr>
          <w:bCs/>
          <w:iCs/>
          <w:lang w:val="en-US"/>
        </w:rPr>
        <w:t xml:space="preserve"> International Conference of the Financial Engineering and Banking Society (FEBS), 30 May-1 June 2019, Prague ; </w:t>
      </w:r>
      <w:r>
        <w:rPr>
          <w:lang w:val="en-US"/>
        </w:rPr>
        <w:t>• 4</w:t>
      </w:r>
      <w:r>
        <w:rPr>
          <w:vertAlign w:val="superscript"/>
          <w:lang w:val="en-US"/>
        </w:rPr>
        <w:t xml:space="preserve">th </w:t>
      </w:r>
      <w:r>
        <w:rPr>
          <w:bCs/>
          <w:lang w:val="en-US"/>
        </w:rPr>
        <w:t xml:space="preserve">IFBBE conference, 16-17 September 2019, Valencia; </w:t>
      </w:r>
      <w:r>
        <w:rPr>
          <w:bCs/>
          <w:iCs/>
          <w:lang w:val="en-US"/>
        </w:rPr>
        <w:t>• 3</w:t>
      </w:r>
      <w:r>
        <w:rPr>
          <w:bCs/>
          <w:iCs/>
          <w:vertAlign w:val="superscript"/>
          <w:lang w:val="en-US"/>
        </w:rPr>
        <w:t>rd</w:t>
      </w:r>
      <w:r>
        <w:rPr>
          <w:bCs/>
          <w:iCs/>
          <w:lang w:val="en-US"/>
        </w:rPr>
        <w:t> Conference on Contemporary Issues in Banking, 12-13 December 2019, St Andrews; • 3</w:t>
      </w:r>
      <w:r>
        <w:rPr>
          <w:bCs/>
          <w:iCs/>
          <w:vertAlign w:val="superscript"/>
          <w:lang w:val="en-US"/>
        </w:rPr>
        <w:t>rd</w:t>
      </w:r>
      <w:r>
        <w:rPr>
          <w:bCs/>
          <w:iCs/>
          <w:lang w:val="en-US"/>
        </w:rPr>
        <w:t xml:space="preserve"> Sydney Banking and Financial Stability Conference, 13-14 December 2019, Sydney; •5th International Conference on Economic and Financial Risks, 28-29 May 2020, Niort; •10</w:t>
      </w:r>
      <w:r>
        <w:rPr>
          <w:bCs/>
          <w:iCs/>
          <w:vertAlign w:val="superscript"/>
          <w:lang w:val="en-US"/>
        </w:rPr>
        <w:t>th</w:t>
      </w:r>
      <w:r>
        <w:rPr>
          <w:bCs/>
          <w:iCs/>
          <w:lang w:val="en-US"/>
        </w:rPr>
        <w:t xml:space="preserve"> International Conference of the Financial Engineering and Banking Society (FEBS), 4-6 June 2020, Chania ; • 2020 Portsmouth - Montpellier conference in Banking, Finance and Accounting, 19-20 September 2020, Portsmouth; •10</w:t>
      </w:r>
      <w:r>
        <w:rPr>
          <w:bCs/>
          <w:iCs/>
          <w:vertAlign w:val="superscript"/>
          <w:lang w:val="en-US"/>
        </w:rPr>
        <w:t>th</w:t>
      </w:r>
      <w:r>
        <w:rPr>
          <w:bCs/>
          <w:iCs/>
          <w:lang w:val="en-US"/>
        </w:rPr>
        <w:t xml:space="preserve"> International Conference of the Financial Engineering and Banking Society (FEBS), 30 </w:t>
      </w:r>
      <w:r>
        <w:rPr>
          <w:bCs/>
          <w:iCs/>
          <w:lang w:val="en-US"/>
        </w:rPr>
        <w:lastRenderedPageBreak/>
        <w:t>September-3 November 2021, Lille ; •11</w:t>
      </w:r>
      <w:r>
        <w:rPr>
          <w:bCs/>
          <w:iCs/>
          <w:vertAlign w:val="superscript"/>
          <w:lang w:val="en-US"/>
        </w:rPr>
        <w:t>th</w:t>
      </w:r>
      <w:r>
        <w:rPr>
          <w:bCs/>
          <w:iCs/>
          <w:lang w:val="en-US"/>
        </w:rPr>
        <w:t xml:space="preserve"> International Conference of the Financial Engineering and Banking Society (FEBS), Climate change, regulatory responses, and sustainable finance, 10-12 June 2022, Portsmouth ; International Conference on Economic and Financial Risks, 20 June-1 July 2022, Niort; •29th Annual Global Finance Conference, 20-22 June 2022, Braga ; • 6</w:t>
      </w:r>
      <w:r>
        <w:rPr>
          <w:bCs/>
          <w:iCs/>
          <w:vertAlign w:val="superscript"/>
          <w:lang w:val="en-US"/>
        </w:rPr>
        <w:t>th</w:t>
      </w:r>
      <w:r>
        <w:rPr>
          <w:bCs/>
          <w:iCs/>
          <w:lang w:val="en-US"/>
        </w:rPr>
        <w:t xml:space="preserve"> IFBBE Conference, 5-6 September 2022, Kuala Lumpur ; •12</w:t>
      </w:r>
      <w:r>
        <w:rPr>
          <w:bCs/>
          <w:iCs/>
          <w:vertAlign w:val="superscript"/>
          <w:lang w:val="en-US"/>
        </w:rPr>
        <w:t>th</w:t>
      </w:r>
      <w:r>
        <w:rPr>
          <w:bCs/>
          <w:iCs/>
          <w:lang w:val="en-US"/>
        </w:rPr>
        <w:t xml:space="preserve"> International Conference of the Financial Engineering and Banking Society (FEBS), 1-4 June 2023, Chania ; • Conference on New outlooks for the scholarly research in corporate governance, 8 June 2023, online ; </w:t>
      </w:r>
      <w:r>
        <w:rPr>
          <w:lang w:val="en-US"/>
        </w:rPr>
        <w:t xml:space="preserve">• </w:t>
      </w:r>
      <w:r>
        <w:rPr>
          <w:bCs/>
          <w:iCs/>
          <w:lang w:val="en-GB"/>
        </w:rPr>
        <w:t xml:space="preserve">2023 International Conference in Finance, Banking and Accounting, 8-9 September 2023, Montpellier ; </w:t>
      </w:r>
      <w:r>
        <w:rPr>
          <w:bCs/>
          <w:iCs/>
          <w:lang w:val="en-US"/>
        </w:rPr>
        <w:t>• 31th Annual Global Finance Conference, 18-20 June 2024, Cagliari, Italy ; •</w:t>
      </w:r>
      <w:r>
        <w:rPr>
          <w:bCs/>
          <w:iCs/>
          <w:lang w:val="en-GB"/>
        </w:rPr>
        <w:t xml:space="preserve"> International Conference on Economic and Financial Risks, 27-28 June 2024, Niort ; </w:t>
      </w:r>
      <w:r>
        <w:rPr>
          <w:bCs/>
          <w:iCs/>
          <w:lang w:val="en-US"/>
        </w:rPr>
        <w:t>• 2024 International Conference in Finance, Accounting and Banking (ICFAB), 6-8 September 2024, Southampton; • The 2024 Sydney Banking and Financial Stability Conference 9-10 December 2024, Sydney ; •14</w:t>
      </w:r>
      <w:r>
        <w:rPr>
          <w:bCs/>
          <w:iCs/>
          <w:vertAlign w:val="superscript"/>
          <w:lang w:val="en-US"/>
        </w:rPr>
        <w:t>th</w:t>
      </w:r>
      <w:r>
        <w:rPr>
          <w:bCs/>
          <w:iCs/>
          <w:lang w:val="en-US"/>
        </w:rPr>
        <w:t xml:space="preserve"> International Conference of the Financial Engineering and Banking Society (FEBS), 11-13 June 2025, Montpellier ; •32nd Annual Global Finance Conference, 23-25 June 2025, Boston ; •</w:t>
      </w:r>
      <w:r>
        <w:rPr>
          <w:bCs/>
          <w:iCs/>
          <w:lang w:val="en-GB"/>
        </w:rPr>
        <w:t xml:space="preserve">International Conference on Economic and Financial Risks, 15-16 June 2026, Poitiers ; </w:t>
      </w:r>
      <w:r>
        <w:rPr>
          <w:bCs/>
          <w:iCs/>
          <w:lang w:val="en-US"/>
        </w:rPr>
        <w:t>•15</w:t>
      </w:r>
      <w:r>
        <w:rPr>
          <w:bCs/>
          <w:iCs/>
          <w:vertAlign w:val="superscript"/>
          <w:lang w:val="en-US"/>
        </w:rPr>
        <w:t>th</w:t>
      </w:r>
      <w:r>
        <w:rPr>
          <w:bCs/>
          <w:iCs/>
          <w:lang w:val="en-US"/>
        </w:rPr>
        <w:t xml:space="preserve"> International Conference of the Financial Engineering and Banking Society (FEBS), 21-23 May 2026, Florence ; 33rd Annual Global Finance Conference. 15-17 June 2026, Ponta Delgada ;</w:t>
      </w:r>
      <w:r>
        <w:rPr>
          <w:b/>
          <w:bCs/>
          <w:iCs/>
          <w:lang w:val="en-US"/>
        </w:rPr>
        <w:t xml:space="preserve"> </w:t>
      </w:r>
      <w:r>
        <w:rPr>
          <w:bCs/>
          <w:iCs/>
          <w:lang w:val="en-US"/>
        </w:rPr>
        <w:t>• 2026 International Conference in Finance, Accounting &amp; Banking (ICFAB 2026), 10-12 September 2026, Surrey.</w:t>
      </w:r>
    </w:p>
    <w:p w:rsidR="00E53BEF" w:rsidRPr="00E53BEF" w:rsidRDefault="00E53BEF" w:rsidP="00E53BEF">
      <w:pPr>
        <w:rPr>
          <w:bCs/>
          <w:iCs/>
          <w:lang w:val="en-US"/>
        </w:rPr>
      </w:pPr>
    </w:p>
    <w:p w:rsidR="003A10A9" w:rsidRPr="00EA5C49" w:rsidRDefault="003A10A9" w:rsidP="000B0C52">
      <w:pPr>
        <w:rPr>
          <w:lang w:val="en-US"/>
        </w:rPr>
      </w:pPr>
    </w:p>
    <w:p w:rsidR="00264890" w:rsidRPr="00916FC0" w:rsidRDefault="003A10A9" w:rsidP="003A10A9">
      <w:pPr>
        <w:pStyle w:val="Retraitcorpsdetexte"/>
        <w:spacing w:line="240" w:lineRule="auto"/>
        <w:ind w:left="-284"/>
      </w:pPr>
      <w:r>
        <w:rPr>
          <w:lang w:val="en-US"/>
        </w:rPr>
        <w:t xml:space="preserve"> </w:t>
      </w:r>
      <w:r>
        <w:rPr>
          <w:b/>
          <w:u w:val="single"/>
        </w:rPr>
        <w:t>Direction (ou co-direction) de thèses de Doctorat</w:t>
      </w:r>
      <w:r>
        <w:rPr>
          <w:u w:val="single"/>
        </w:rPr>
        <w:t xml:space="preserve"> </w:t>
      </w:r>
      <w:r>
        <w:rPr>
          <w:b/>
          <w:u w:val="single"/>
        </w:rPr>
        <w:t>et devenir des docteurs</w:t>
      </w:r>
      <w:r>
        <w:t xml:space="preserve"> : </w:t>
      </w:r>
    </w:p>
    <w:p w:rsidR="003A10A9" w:rsidRPr="00916FC0" w:rsidRDefault="00B965F0" w:rsidP="003A10A9">
      <w:pPr>
        <w:pStyle w:val="Retraitcorpsdetexte"/>
        <w:spacing w:line="240" w:lineRule="auto"/>
        <w:ind w:left="-284"/>
      </w:pPr>
      <w:r>
        <w:rPr>
          <w:b/>
        </w:rPr>
        <w:t>42 thèses dont 38 soutenues</w:t>
      </w:r>
      <w:r>
        <w:t xml:space="preserve"> à ce jour à l’Université de Limoges:</w:t>
      </w:r>
    </w:p>
    <w:p w:rsidR="003A10A9" w:rsidRPr="00916FC0" w:rsidRDefault="003A10A9" w:rsidP="003A10A9">
      <w:pPr>
        <w:pStyle w:val="Retraitcorpsdetexte"/>
        <w:spacing w:line="240" w:lineRule="auto"/>
        <w:ind w:left="0"/>
      </w:pPr>
      <w:r>
        <w:t>-Céline Crouzille, janvier 1999, actuellement Professeur des Universités</w:t>
      </w:r>
    </w:p>
    <w:p w:rsidR="003A10A9" w:rsidRPr="00916FC0" w:rsidRDefault="003A10A9" w:rsidP="003A10A9">
      <w:pPr>
        <w:pStyle w:val="Retraitcorpsdetexte"/>
        <w:spacing w:line="240" w:lineRule="auto"/>
        <w:ind w:left="0"/>
      </w:pPr>
      <w:r>
        <w:t>-Laetitia Lepetit, juin 2001, actuellement Professeur des Universités</w:t>
      </w:r>
    </w:p>
    <w:p w:rsidR="003A10A9" w:rsidRPr="00916FC0" w:rsidRDefault="003A10A9" w:rsidP="003A10A9">
      <w:pPr>
        <w:pStyle w:val="Retraitcorpsdetexte"/>
        <w:spacing w:line="240" w:lineRule="auto"/>
        <w:ind w:left="0"/>
      </w:pPr>
      <w:r>
        <w:t xml:space="preserve">-Fabrice Aléonard, janvier 2002, actuellement </w:t>
      </w:r>
      <w:r>
        <w:rPr>
          <w:szCs w:val="22"/>
        </w:rPr>
        <w:t>Consultant (CDI) chez GTI Consultant</w:t>
      </w:r>
    </w:p>
    <w:p w:rsidR="003A10A9" w:rsidRPr="00916FC0" w:rsidRDefault="003A10A9" w:rsidP="003A10A9">
      <w:pPr>
        <w:pStyle w:val="Retraitcorpsdetexte"/>
        <w:spacing w:line="240" w:lineRule="auto"/>
        <w:ind w:left="0"/>
      </w:pPr>
      <w:r>
        <w:t>- Marie-cécile Paillier, septembre 2003 (thèse CIFRE Caisse d’Epargne), actuellement Responsable du service assistance valeurs mobilières, Banque Postale</w:t>
      </w:r>
    </w:p>
    <w:p w:rsidR="003A10A9" w:rsidRPr="00916FC0" w:rsidRDefault="003A10A9" w:rsidP="003A10A9">
      <w:pPr>
        <w:pStyle w:val="Retraitcorpsdetexte"/>
        <w:spacing w:line="240" w:lineRule="auto"/>
        <w:ind w:left="0"/>
      </w:pPr>
      <w:r>
        <w:t>-Emmanuelle Nys, décembre 2003 (thèse en co-tutelle Université de Birmingham (RU)), actuellement Maître de Conférences</w:t>
      </w:r>
    </w:p>
    <w:p w:rsidR="003A10A9" w:rsidRPr="00916FC0" w:rsidRDefault="003A10A9" w:rsidP="003A10A9">
      <w:pPr>
        <w:pStyle w:val="Retraitcorpsdetexte"/>
        <w:spacing w:line="240" w:lineRule="auto"/>
        <w:ind w:left="0"/>
      </w:pPr>
      <w:r>
        <w:t>-Talal Suleiman, septembre 2004 (soutenance à l’Université de Poitiers), actuellement enseignant-chercheur, Université de Lataquié, Syrie</w:t>
      </w:r>
    </w:p>
    <w:p w:rsidR="003A10A9" w:rsidRPr="00916FC0" w:rsidRDefault="003A10A9" w:rsidP="003A10A9">
      <w:pPr>
        <w:pStyle w:val="Retraitcorpsdetexte"/>
        <w:spacing w:line="240" w:lineRule="auto"/>
        <w:ind w:left="0"/>
      </w:pPr>
      <w:r>
        <w:rPr>
          <w:sz w:val="26"/>
        </w:rPr>
        <w:t xml:space="preserve">- </w:t>
      </w:r>
      <w:r>
        <w:t>Ould Isselmou Mohamed Ahid, octobre 2004, enseignant-chercheur, Université de Mauritanie</w:t>
      </w:r>
    </w:p>
    <w:p w:rsidR="003A10A9" w:rsidRPr="00916FC0" w:rsidRDefault="003A10A9" w:rsidP="003A10A9">
      <w:pPr>
        <w:pStyle w:val="Retraitcorpsdetexte"/>
        <w:spacing w:line="240" w:lineRule="auto"/>
        <w:ind w:left="0"/>
      </w:pPr>
      <w:r>
        <w:t>- Chawki El Moussawi, novembre 2004, enseignant-chercheur, Faculty of Economics and Business Administration, Lebanese University, Hadat, Liban</w:t>
      </w:r>
    </w:p>
    <w:p w:rsidR="003A10A9" w:rsidRPr="00916FC0" w:rsidRDefault="003A10A9" w:rsidP="003A10A9">
      <w:pPr>
        <w:pStyle w:val="Retraitcorpsdetexte"/>
        <w:spacing w:line="240" w:lineRule="auto"/>
        <w:ind w:left="0"/>
      </w:pPr>
      <w:r>
        <w:t>- Aliou Diop, novembre 2006, Consultant, Organisation Mondiale de l’Immigration</w:t>
      </w:r>
    </w:p>
    <w:p w:rsidR="003A10A9" w:rsidRPr="001A2D16" w:rsidRDefault="003A10A9" w:rsidP="003A10A9">
      <w:pPr>
        <w:pStyle w:val="Retraitcorpsdetexte"/>
        <w:spacing w:line="240" w:lineRule="auto"/>
        <w:ind w:left="0"/>
      </w:pPr>
      <w:r>
        <w:t>- Rana Mansour, juin 2007, enseignant-chercheur, Université Libanaise</w:t>
      </w:r>
    </w:p>
    <w:p w:rsidR="003A10A9" w:rsidRPr="00C46D3E" w:rsidRDefault="003A10A9" w:rsidP="003A10A9">
      <w:pPr>
        <w:pStyle w:val="Retraitcorpsdetexte"/>
        <w:spacing w:line="240" w:lineRule="auto"/>
        <w:ind w:left="0"/>
      </w:pPr>
      <w:r>
        <w:t xml:space="preserve">- Musa Foudeh, juin 2007, Credit Officer, Jordan Real Estate Bank et depuis 2009 </w:t>
      </w:r>
      <w:r>
        <w:rPr>
          <w:bCs/>
        </w:rPr>
        <w:t xml:space="preserve">enseignant-chercheur, Al-Imam Muhammad Ibn Saud Islamic University, Saudi Arabia. </w:t>
      </w:r>
      <w:r>
        <w:t xml:space="preserve"> </w:t>
      </w:r>
    </w:p>
    <w:p w:rsidR="003A10A9" w:rsidRDefault="003A10A9" w:rsidP="003A10A9">
      <w:pPr>
        <w:pStyle w:val="Retraitcorpsdetexte"/>
        <w:spacing w:line="240" w:lineRule="auto"/>
        <w:ind w:left="0"/>
      </w:pPr>
      <w:r>
        <w:t>- Hicham Benfeddoul, décembre 2007, Economiste Chercheur, Direction Etudes et Recherches, Conseil Supérieur de l'Enseignement, Maroc</w:t>
      </w:r>
    </w:p>
    <w:p w:rsidR="003A10A9" w:rsidRDefault="003A10A9" w:rsidP="003A10A9">
      <w:pPr>
        <w:pStyle w:val="Retraitcorpsdetexte"/>
        <w:spacing w:line="240" w:lineRule="auto"/>
        <w:ind w:left="0"/>
      </w:pPr>
      <w:r>
        <w:t>-Isabelle Distinguin, juillet 2008, actuellement Professeur des Universités</w:t>
      </w:r>
    </w:p>
    <w:p w:rsidR="003A10A9" w:rsidRDefault="003A10A9" w:rsidP="003A10A9">
      <w:pPr>
        <w:pStyle w:val="Retraitcorpsdetexte"/>
        <w:spacing w:line="240" w:lineRule="auto"/>
        <w:ind w:left="0"/>
      </w:pPr>
      <w:r>
        <w:t>-Fouad Machrouh, septembre 2008, enseignant CNAM puis Professeur Associé en Finance à ISCAE</w:t>
      </w:r>
    </w:p>
    <w:p w:rsidR="003A10A9" w:rsidRDefault="003A10A9" w:rsidP="003A10A9">
      <w:pPr>
        <w:pStyle w:val="Retraitcorpsdetexte"/>
        <w:spacing w:line="240" w:lineRule="auto"/>
        <w:ind w:left="0"/>
      </w:pPr>
      <w:r>
        <w:t>-Alain Angora, juillet 2009, Ingénieur financier, Industrielle Alliance, Québec puis économiste, AMF (Autorité des Marchés Financiers) du Québec depuis août 2013</w:t>
      </w:r>
    </w:p>
    <w:p w:rsidR="003A10A9" w:rsidRDefault="003A10A9" w:rsidP="003A10A9">
      <w:pPr>
        <w:pStyle w:val="Retraitcorpsdetexte"/>
        <w:spacing w:line="240" w:lineRule="auto"/>
        <w:ind w:left="0"/>
      </w:pPr>
      <w:r>
        <w:t>-Boubacar Camara, décembre 2010, Économiste, Autorité de Contrôle Prudentiel, Banque de France</w:t>
      </w:r>
    </w:p>
    <w:p w:rsidR="003A10A9" w:rsidRDefault="003A10A9" w:rsidP="003A10A9">
      <w:pPr>
        <w:pStyle w:val="Retraitcorpsdetexte"/>
        <w:spacing w:line="240" w:lineRule="auto"/>
        <w:ind w:left="0"/>
      </w:pPr>
      <w:r>
        <w:t>-Thierno Barry, décembre 2010, actuellement Maître de Conférences</w:t>
      </w:r>
    </w:p>
    <w:p w:rsidR="003A10A9" w:rsidRPr="00DF142C" w:rsidRDefault="003A10A9" w:rsidP="003A10A9">
      <w:pPr>
        <w:pStyle w:val="Retraitcorpsdetexte"/>
        <w:spacing w:line="240" w:lineRule="auto"/>
        <w:ind w:left="0"/>
      </w:pPr>
      <w:r>
        <w:t xml:space="preserve">-Wahyoe Soedarmono, novembre 2011, Research Analyst, World Bank et depuis septembre 2013, senior lecturer, </w:t>
      </w:r>
      <w:r>
        <w:rPr>
          <w:lang w:val="id-ID"/>
        </w:rPr>
        <w:t>Siswa Bangsa</w:t>
      </w:r>
      <w:r>
        <w:t xml:space="preserve"> International University, Jakarta.</w:t>
      </w:r>
    </w:p>
    <w:p w:rsidR="003A10A9" w:rsidRDefault="003A10A9" w:rsidP="003A10A9">
      <w:pPr>
        <w:pStyle w:val="Retraitcorpsdetexte"/>
        <w:spacing w:line="240" w:lineRule="auto"/>
        <w:ind w:left="0"/>
      </w:pPr>
      <w:r>
        <w:lastRenderedPageBreak/>
        <w:t xml:space="preserve">- Caroline Roulet, décembre 2011, chargée d'études, JPLC Finance et actuellement Economist/Policy Analyst, DAF, OECD </w:t>
      </w:r>
    </w:p>
    <w:p w:rsidR="003A10A9" w:rsidRPr="00B60BBB" w:rsidRDefault="003A10A9" w:rsidP="003A10A9">
      <w:pPr>
        <w:pStyle w:val="Retraitcorpsdetexte"/>
        <w:spacing w:line="240" w:lineRule="auto"/>
        <w:ind w:left="0"/>
      </w:pPr>
      <w:r>
        <w:t>-Ruth Tacneng, janvier 2013, Post-Doc Research Fellow, Portuguese Catholic University, Porto et, depuis 2016, Maître de Conférences</w:t>
      </w:r>
    </w:p>
    <w:p w:rsidR="003A10A9" w:rsidRDefault="003A10A9" w:rsidP="003A10A9">
      <w:pPr>
        <w:pStyle w:val="Retraitcorpsdetexte"/>
        <w:spacing w:line="240" w:lineRule="auto"/>
        <w:ind w:left="0"/>
      </w:pPr>
      <w:r>
        <w:t xml:space="preserve">-Tchudjane Kouassi, janvier 2013, enseignant-chercheur, Université Côte d'Ivoire </w:t>
      </w:r>
    </w:p>
    <w:p w:rsidR="003A10A9" w:rsidRDefault="003A10A9" w:rsidP="003A10A9">
      <w:pPr>
        <w:pStyle w:val="Retraitcorpsdetexte"/>
        <w:spacing w:line="240" w:lineRule="auto"/>
        <w:ind w:left="0"/>
      </w:pPr>
      <w:r>
        <w:t>- Pejman Abedifar, décembre 2013, Lecturer, St. Andrews University</w:t>
      </w:r>
    </w:p>
    <w:p w:rsidR="00846C1E" w:rsidRDefault="003A10A9" w:rsidP="003A10A9">
      <w:pPr>
        <w:pStyle w:val="Retraitcorpsdetexte"/>
        <w:spacing w:line="240" w:lineRule="auto"/>
        <w:ind w:left="0"/>
      </w:pPr>
      <w:r>
        <w:t>-Irwan Trinugroho, janvier 2014, enseignant-chercheur, Université Sebalas Maret, Indonésie</w:t>
      </w:r>
    </w:p>
    <w:p w:rsidR="00F13D10" w:rsidRDefault="00846C1E" w:rsidP="003A10A9">
      <w:pPr>
        <w:pStyle w:val="Retraitcorpsdetexte"/>
        <w:spacing w:line="240" w:lineRule="auto"/>
        <w:ind w:left="0"/>
      </w:pPr>
      <w:r>
        <w:t>-Nadia Zedek, 2014, actuellement Maître de Conférences, Université de Nantes</w:t>
      </w:r>
    </w:p>
    <w:p w:rsidR="003A10A9" w:rsidRDefault="00F13D10" w:rsidP="003A10A9">
      <w:pPr>
        <w:pStyle w:val="Retraitcorpsdetexte"/>
        <w:spacing w:line="240" w:lineRule="auto"/>
        <w:ind w:left="0"/>
      </w:pPr>
      <w:r>
        <w:t>-Bowo Setiyono, 2015, enseignant-chercheur, Université Gadjah Mada, Indonésie</w:t>
      </w:r>
    </w:p>
    <w:p w:rsidR="00E72D95" w:rsidRDefault="00D606DF" w:rsidP="003A10A9">
      <w:pPr>
        <w:pStyle w:val="Retraitcorpsdetexte"/>
        <w:spacing w:line="240" w:lineRule="auto"/>
        <w:ind w:left="0"/>
      </w:pPr>
      <w:r>
        <w:t>-Ha Pham, 2015, enseignant-chercheur, Ton Duc Thang University, Vietnam</w:t>
      </w:r>
    </w:p>
    <w:p w:rsidR="00FD7EDB" w:rsidRDefault="00FD7EDB" w:rsidP="003A10A9">
      <w:pPr>
        <w:pStyle w:val="Retraitcorpsdetexte"/>
        <w:spacing w:line="240" w:lineRule="auto"/>
        <w:ind w:left="0"/>
      </w:pPr>
      <w:r>
        <w:t>-Tammuz AlRaheb, 2017, ATER, Université de Limoges puis Économiste Banque QNB, Syrie, puis dirigeant Mansour Bank (Chief Risk Officer), Irak.</w:t>
      </w:r>
    </w:p>
    <w:p w:rsidR="00FF1852" w:rsidRPr="00FF1852" w:rsidRDefault="00FD7EDB" w:rsidP="00A2393A">
      <w:r>
        <w:t xml:space="preserve">-Yassine Bakkar, 2018, ATER, Université de Limoges, puis Post-Doc, Tallinn University of Technology (2018-2021) et depuis 2021, </w:t>
      </w:r>
      <w:r>
        <w:rPr>
          <w:color w:val="000000" w:themeColor="text1"/>
        </w:rPr>
        <w:t>Lecturer, Queen’s University Belfast</w:t>
      </w:r>
    </w:p>
    <w:p w:rsidR="00FD7EDB" w:rsidRPr="00FD7EDB" w:rsidRDefault="00FD7EDB" w:rsidP="00FD7EDB">
      <w:pPr>
        <w:pStyle w:val="Retraitcorpsdetexte"/>
        <w:spacing w:line="240" w:lineRule="auto"/>
        <w:ind w:left="0"/>
      </w:pPr>
      <w:r>
        <w:t>-Annick Pamen-Nyola, 2018, ATER, Université de Limoges puis Financial Regulation Consultant, IXA IM, Paris</w:t>
      </w:r>
    </w:p>
    <w:p w:rsidR="00FD7EDB" w:rsidRPr="008208B3" w:rsidRDefault="00FD7EDB" w:rsidP="003A10A9">
      <w:pPr>
        <w:pStyle w:val="Retraitcorpsdetexte"/>
        <w:spacing w:line="240" w:lineRule="auto"/>
        <w:ind w:left="0"/>
      </w:pPr>
      <w:r>
        <w:t>-</w:t>
      </w:r>
      <w:r>
        <w:rPr>
          <w:rFonts w:ascii="Verdana" w:hAnsi="Verdana"/>
          <w:sz w:val="18"/>
          <w:szCs w:val="18"/>
          <w:shd w:val="clear" w:color="auto" w:fill="FFFFFF"/>
        </w:rPr>
        <w:t xml:space="preserve"> </w:t>
      </w:r>
      <w:r>
        <w:t>Tastaftiyan Risfandy, 2018, enseignant-chercheur, Université Sebalas Maret, Indonésie</w:t>
      </w:r>
    </w:p>
    <w:p w:rsidR="00757614" w:rsidRDefault="00757614" w:rsidP="00A2393A">
      <w:pPr>
        <w:tabs>
          <w:tab w:val="left" w:pos="1701"/>
          <w:tab w:val="left" w:pos="1927"/>
        </w:tabs>
      </w:pPr>
      <w:r>
        <w:t>- Aref Mahdavi-Ardekani, 2019, ATER, Université de Limoges et Post-Doc Researcher, Université de Paris 1 (2019-2021) et, depuis 2021, Assistant Professor, Dublin City University</w:t>
      </w:r>
    </w:p>
    <w:p w:rsidR="009C333A" w:rsidRDefault="009C333A" w:rsidP="003A10A9">
      <w:pPr>
        <w:pStyle w:val="Retraitcorpsdetexte"/>
        <w:spacing w:line="240" w:lineRule="auto"/>
        <w:ind w:left="0"/>
        <w:rPr>
          <w:lang w:val="en-US"/>
        </w:rPr>
      </w:pPr>
      <w:r>
        <w:rPr>
          <w:lang w:val="en-US"/>
        </w:rPr>
        <w:t>- Christina Nicolas, 2019, Research and Teaching fellow HEG, Genève</w:t>
      </w:r>
    </w:p>
    <w:p w:rsidR="009C333A" w:rsidRPr="007D4834" w:rsidRDefault="009C333A" w:rsidP="009C333A">
      <w:pPr>
        <w:tabs>
          <w:tab w:val="left" w:pos="1701"/>
          <w:tab w:val="left" w:pos="1927"/>
        </w:tabs>
        <w:rPr>
          <w:lang w:val="en-US"/>
        </w:rPr>
      </w:pPr>
      <w:r>
        <w:rPr>
          <w:lang w:val="en-US"/>
        </w:rPr>
        <w:t>- Mathieu Mercadier, 2020, Financial Economist, JPLC Credit Risks Advisory, puis professeur de Machine Learning et Finance, ESC Clermont (Clermont Business School), et depuis 2023 Assistant Professor in Business Analytics, Dublin City University</w:t>
      </w:r>
    </w:p>
    <w:p w:rsidR="00CD069B" w:rsidRPr="00F87BA6" w:rsidRDefault="009C333A" w:rsidP="00CD069B">
      <w:pPr>
        <w:tabs>
          <w:tab w:val="left" w:pos="1701"/>
          <w:tab w:val="left" w:pos="1927"/>
        </w:tabs>
      </w:pPr>
      <w:r>
        <w:t>- Alassane Diabate, 2020, ATER, Université de Limoges, puis, Économiste, Banque Centrale des États de l'Afrique de l'Ouest (BCEAO) – Siège, Dakar 2021-2024 puis depuis 2025 Économiste, Financial stability and macro-prudential surveillance, Banque Centrale du Luxembourg.</w:t>
      </w:r>
    </w:p>
    <w:p w:rsidR="009C333A" w:rsidRDefault="007D4834" w:rsidP="009C333A">
      <w:pPr>
        <w:tabs>
          <w:tab w:val="left" w:pos="1701"/>
          <w:tab w:val="left" w:pos="1927"/>
        </w:tabs>
      </w:pPr>
      <w:r>
        <w:t xml:space="preserve">- Foly Ananou, 2021, ATER, Université de Limoges puis, depuis septembre 2022, Économiste Risque Pays au sein du Groupe Société Générale, Paris </w:t>
      </w:r>
    </w:p>
    <w:p w:rsidR="00CA0FBE" w:rsidRPr="00E3150A" w:rsidRDefault="00CA0FBE" w:rsidP="009C333A">
      <w:pPr>
        <w:tabs>
          <w:tab w:val="left" w:pos="1701"/>
          <w:tab w:val="left" w:pos="1927"/>
        </w:tabs>
        <w:rPr>
          <w:lang w:val="en-US"/>
        </w:rPr>
      </w:pPr>
      <w:r>
        <w:rPr>
          <w:lang w:val="en-US"/>
        </w:rPr>
        <w:t xml:space="preserve">- Ali Recayi Ogcem, 2022, agent, Greater London Authority </w:t>
      </w:r>
    </w:p>
    <w:p w:rsidR="000746E2" w:rsidRDefault="00CD1986" w:rsidP="000746E2">
      <w:pPr>
        <w:tabs>
          <w:tab w:val="left" w:pos="1701"/>
          <w:tab w:val="left" w:pos="1927"/>
        </w:tabs>
      </w:pPr>
      <w:r>
        <w:t xml:space="preserve">- Oussama Labchara, 2023, ATER, Université de Limoges puis Économiste, Bank Al-Maghrib (Banque Centrale du Maroc), Rabat </w:t>
      </w:r>
    </w:p>
    <w:p w:rsidR="00E53BEF" w:rsidRPr="00E53BEF" w:rsidRDefault="00E53BEF" w:rsidP="000746E2">
      <w:pPr>
        <w:tabs>
          <w:tab w:val="left" w:pos="1701"/>
          <w:tab w:val="left" w:pos="1927"/>
        </w:tabs>
      </w:pPr>
      <w:r>
        <w:t>- Victor Henry Osei, 2025, ATER, Université de Limoges</w:t>
      </w:r>
    </w:p>
    <w:p w:rsidR="00C46D3E" w:rsidRDefault="00CD1986" w:rsidP="001E2099">
      <w:pPr>
        <w:tabs>
          <w:tab w:val="left" w:pos="1701"/>
          <w:tab w:val="left" w:pos="1927"/>
        </w:tabs>
      </w:pPr>
      <w:r>
        <w:t xml:space="preserve"> </w:t>
      </w:r>
    </w:p>
    <w:p w:rsidR="00441124" w:rsidRPr="00E53BEF" w:rsidRDefault="00441124" w:rsidP="003A10A9">
      <w:pPr>
        <w:pStyle w:val="Retraitcorpsdetexte"/>
        <w:spacing w:line="240" w:lineRule="auto"/>
        <w:ind w:left="0"/>
      </w:pPr>
    </w:p>
    <w:p w:rsidR="003A10A9" w:rsidRPr="003A10A9" w:rsidRDefault="003A10A9" w:rsidP="004E4AA9">
      <w:pPr>
        <w:pStyle w:val="Retraitcorpsdetexte"/>
        <w:spacing w:line="240" w:lineRule="auto"/>
        <w:ind w:left="-284"/>
        <w:rPr>
          <w:b/>
          <w:u w:val="single"/>
        </w:rPr>
      </w:pPr>
      <w:r>
        <w:rPr>
          <w:b/>
          <w:u w:val="single"/>
        </w:rPr>
        <w:t>Direction d’habilitations à diriger les recherches et autres</w:t>
      </w:r>
    </w:p>
    <w:p w:rsidR="003A10A9" w:rsidRDefault="003A10A9" w:rsidP="003A10A9">
      <w:pPr>
        <w:pStyle w:val="Retraitcorpsdetexte"/>
        <w:spacing w:line="240" w:lineRule="auto"/>
        <w:ind w:left="0"/>
      </w:pPr>
      <w:r>
        <w:t xml:space="preserve"> •Direction d'HDR : Laetitia Lepetit en octobre 2007, Céline Meslier en février 2022, Isabelle Distinguin en février 2023 • Direction de mémoires de DEA ou M2 : 6 mémoires en moyenne par an depuis 1995; • Direction de mémoires de DESS ou M2 : 2 mémoires en moyenne par an depuis 1992; • Direction de mémoires de maîtrise de sciences économiques ou M1 : 5 mémoires en moyenne par an de 1992 à 2012.</w:t>
      </w:r>
    </w:p>
    <w:p w:rsidR="003A10A9" w:rsidRDefault="003A10A9" w:rsidP="000B0C52"/>
    <w:p w:rsidR="003359E8" w:rsidRDefault="003359E8" w:rsidP="000B0C52"/>
    <w:p w:rsidR="004E4AA9" w:rsidRDefault="003A10A9" w:rsidP="003A10A9">
      <w:pPr>
        <w:ind w:hanging="284"/>
      </w:pPr>
      <w:r>
        <w:rPr>
          <w:b/>
          <w:u w:val="single"/>
        </w:rPr>
        <w:t>Médiation scientifique et expertises en France et à l'étranger</w:t>
      </w:r>
      <w:r>
        <w:t xml:space="preserve">  </w:t>
      </w:r>
    </w:p>
    <w:p w:rsidR="003A10A9" w:rsidRDefault="004E4AA9" w:rsidP="0064488E">
      <w:pPr>
        <w:ind w:hanging="284"/>
      </w:pPr>
      <w:r>
        <w:tab/>
        <w:t xml:space="preserve">•Mission d’expertise (DRIC et Université de Limoges) sur le potentiel de collaboration universitaire entre la France et les Philippines dans le domaine de la Finance, Ateneo University of Manila and University of the Philippines, septembre 1999, Manille; •Conférence dans le cadre de l’« école de la Bourse », cycle organisé par Euronext, janvier 2001; • Modérateur sur  « Recherche et économie régionale » dans le cadre des 1ères Assises Régionales de la Recherche et l’Innovation, Limoges, 26/01/01; • Membre du Jury de l’ANVAR « création d’entreprises innovantes » en 2001; • Mission d’expertise sur la politique scientifique et le développement de la recherche, Université Cocody d’Abidjan, Côte d’Ivoire, 16 au 21 mars 2002; •Intervention auprès du Conseil Economique et Social dans le cadre du groupe de travail « La recherche en Limousin », </w:t>
      </w:r>
      <w:r>
        <w:lastRenderedPageBreak/>
        <w:t>18/04/2002; •Coordonnateur et membre du comité de pilotage des 2èmes Assises Régionales de la Recherche et l’Innovation, Limoges, 07/03/03; •« La structuration de la recherche : évolutions récentes et perspectives » dans le cadre des 2èmes Assises Régionales de la Recherche et l’Innovation, Limoges, 07/03/03, •« </w:t>
      </w:r>
      <w:r>
        <w:rPr>
          <w:bCs/>
        </w:rPr>
        <w:t>Research and Interdisciplinarity</w:t>
      </w:r>
      <w:r>
        <w:t xml:space="preserve">» dans le cadre du </w:t>
      </w:r>
      <w:r>
        <w:rPr>
          <w:bCs/>
          <w:szCs w:val="28"/>
        </w:rPr>
        <w:t>France/UK Postgraduate Studies Workshop</w:t>
      </w:r>
      <w:r>
        <w:rPr>
          <w:bCs/>
          <w:szCs w:val="28"/>
          <w:lang w:eastAsia="en-GB"/>
        </w:rPr>
        <w:t xml:space="preserve">, </w:t>
      </w:r>
      <w:r>
        <w:rPr>
          <w:bCs/>
          <w:szCs w:val="28"/>
        </w:rPr>
        <w:t xml:space="preserve">Londres, 12 et 13 Novembre 2004; </w:t>
      </w:r>
      <w:r>
        <w:t>• Membre du groupe de travail du CNIS rattaché à la commission "Système financier et financement de l'Economie" sur l'accessibilité aux données bancaires, depuis février 2014; •"How to Get Published in Leading Journals in Financial Economics", Conference, Solo, Indonesia, 12 May 2015 •Advisory board member UNS, Indonesia (depuis 2020) • « Accelerating UNS international reputation and global rankings », 3 décembre 2020 (en ligne); •Reportage sur France Bleu Limousin, 26 septembre 2017, sur le projet européen OPTBANK, obtenu en tant que coordinateur principal, d’un budget d’1 million d’euros, pour développer la recherche en banque et finance ainsi que la formation de doctorants à l’échelle internationale (projet associant 4 universités européennes, 6 universités indonésiennes, ainsi qu’une banque centrale, des régulateurs financiers et un organisme d’assurance-dépôts); •Parutions dans la presse locale, par exemple une interview dans Le Populaire du Centre (grand format, novembre 2018) et une interview pour un article dans Vivre à Limoges (janvier 2026); •Interviews et parutions dans la presse étrangère, par exemple : « The Advancement of Science », KFAS, n° 114, juillet-août 2021 ; Arab Times, jeudi 27 mai 2021; •Interviews télévisées ou vidéos à l’étranger sur la situation économique du pays concerné, en particulier sur les questions de stabilité bancaire et de crises financières</w:t>
      </w:r>
      <w:r w:rsidR="0099498D">
        <w:t xml:space="preserve">, par exemple </w:t>
      </w:r>
      <w:hyperlink r:id="rId15" w:history="1">
        <w:r w:rsidR="0099498D" w:rsidRPr="0099498D">
          <w:rPr>
            <w:rStyle w:val="Lienhypertexte"/>
          </w:rPr>
          <w:t>interview KFAS</w:t>
        </w:r>
      </w:hyperlink>
      <w:r w:rsidR="0099498D">
        <w:t xml:space="preserve"> </w:t>
      </w:r>
      <w:r>
        <w:t xml:space="preserve">; •Sollicitations régulières de journalistes, en France et à l’étranger, pour des précisions sur des questions bancaires, avec citations dans leurs articles; •Organisation de conférences à destination du grand public et des milieux bancaires locaux sur la situation macroéconomique (« Situation et perspectives économiques et financières, nationales et internationales », 2019) ou les évolutions de la politique monétaire (« Politique monétaire : comprendre le nouvel environnement des taux bas »), en partenariat avec la direction de la Banque de France de la Haute-Vienne, incluant la participation régulière d’un membre du laboratoire à des réunions sur la situation économique locale; •Participation de membres du laboratoire à des conférences organisées par la Fondation Partenariale de l’Université de Limoges, en présence d’entrepreneurs locaux; •Participation du laboratoire à la manifestation européenne « La Nuit des chercheurs »; •Interventions de membres du laboratoire auprès des professeurs de SES de l’Académie de Limoges, dans le cadre du plan de formation (2015-2018), sur l’impact de la crise financière, de la crise de la dette souveraine et sur les questions de politique monétaire. •Voir aussi pour la période plus récente la rubrique "Missions exploratoires" dans "Situations Professionnelles et Mobilités" pages 1 et 2 du CV. </w:t>
      </w:r>
    </w:p>
    <w:p w:rsidR="000B08F1" w:rsidRDefault="000B08F1" w:rsidP="0064488E">
      <w:pPr>
        <w:ind w:hanging="284"/>
      </w:pPr>
    </w:p>
    <w:p w:rsidR="000B08F1" w:rsidRDefault="000B08F1" w:rsidP="0064488E">
      <w:pPr>
        <w:ind w:hanging="284"/>
      </w:pPr>
    </w:p>
    <w:p w:rsidR="00A32265" w:rsidRDefault="00A32265" w:rsidP="0064488E">
      <w:pPr>
        <w:ind w:hanging="284"/>
      </w:pPr>
    </w:p>
    <w:p w:rsidR="00722DB7" w:rsidRPr="0064488E" w:rsidRDefault="00722DB7" w:rsidP="0064488E">
      <w:pPr>
        <w:ind w:hanging="284"/>
        <w:rPr>
          <w:b/>
        </w:rPr>
      </w:pPr>
    </w:p>
    <w:p w:rsidR="004E4AA9" w:rsidRDefault="004E4AA9" w:rsidP="004E4AA9">
      <w:pPr>
        <w:pBdr>
          <w:top w:val="single" w:sz="6" w:space="1" w:color="auto"/>
          <w:left w:val="single" w:sz="6" w:space="1" w:color="auto"/>
          <w:bottom w:val="single" w:sz="6" w:space="1" w:color="auto"/>
          <w:right w:val="single" w:sz="6" w:space="1" w:color="auto"/>
        </w:pBdr>
        <w:shd w:val="pct10" w:color="auto" w:fill="auto"/>
        <w:jc w:val="center"/>
        <w:outlineLvl w:val="0"/>
        <w:rPr>
          <w:b/>
          <w:position w:val="-4"/>
          <w:sz w:val="46"/>
        </w:rPr>
      </w:pPr>
      <w:r>
        <w:rPr>
          <w:b/>
          <w:sz w:val="36"/>
        </w:rPr>
        <w:t>PUBLICATIONS ET COMMUNICATIONS SCIENTIFIQUES</w:t>
      </w:r>
    </w:p>
    <w:p w:rsidR="003A10A9" w:rsidRDefault="003A10A9">
      <w:pPr>
        <w:pStyle w:val="Titre1"/>
      </w:pPr>
    </w:p>
    <w:p w:rsidR="003A10A9" w:rsidRDefault="003A10A9">
      <w:pPr>
        <w:pStyle w:val="Titre1"/>
      </w:pPr>
    </w:p>
    <w:p w:rsidR="000C4B81" w:rsidRPr="006C2965" w:rsidRDefault="000C4B81" w:rsidP="004E4AA9">
      <w:pPr>
        <w:pStyle w:val="Titre1"/>
        <w:ind w:left="142"/>
        <w:jc w:val="left"/>
        <w:rPr>
          <w:rFonts w:ascii="Arial" w:hAnsi="Arial" w:cs="Arial"/>
          <w:u w:val="single"/>
        </w:rPr>
      </w:pPr>
      <w:r>
        <w:rPr>
          <w:rFonts w:ascii="Arial" w:hAnsi="Arial" w:cs="Arial"/>
          <w:u w:val="single"/>
        </w:rPr>
        <w:t>Articles scientifiques en français</w:t>
      </w:r>
    </w:p>
    <w:p w:rsidR="000C4B81" w:rsidRDefault="005E4A49" w:rsidP="004E4AA9">
      <w:pPr>
        <w:tabs>
          <w:tab w:val="left" w:pos="1701"/>
          <w:tab w:val="left" w:pos="1927"/>
        </w:tabs>
        <w:spacing w:line="360" w:lineRule="atLeast"/>
        <w:ind w:left="860" w:hanging="280"/>
      </w:pPr>
      <w:r>
        <w:t xml:space="preserve"> •</w:t>
      </w:r>
      <w:r>
        <w:tab/>
      </w:r>
      <w:r>
        <w:rPr>
          <w:i/>
        </w:rPr>
        <w:t>" Évaluation du risque de défaillance bancaire en Europe "</w:t>
      </w:r>
      <w:r>
        <w:t xml:space="preserve">, en collaboration avec D. Goyeau, </w:t>
      </w:r>
      <w:r>
        <w:rPr>
          <w:u w:val="single"/>
        </w:rPr>
        <w:t>Revue d'Économie Politique</w:t>
      </w:r>
      <w:r>
        <w:t>, 102 (2), mars-avril 1992.</w:t>
      </w:r>
    </w:p>
    <w:p w:rsidR="000C4B81" w:rsidRDefault="000C4B81" w:rsidP="004E4AA9">
      <w:pPr>
        <w:tabs>
          <w:tab w:val="left" w:pos="1701"/>
          <w:tab w:val="left" w:pos="1927"/>
        </w:tabs>
        <w:spacing w:line="360" w:lineRule="atLeast"/>
        <w:ind w:left="860" w:hanging="220"/>
      </w:pPr>
      <w:r>
        <w:t>•</w:t>
      </w:r>
      <w:r>
        <w:tab/>
      </w:r>
      <w:r>
        <w:rPr>
          <w:i/>
        </w:rPr>
        <w:t>" La prévention des ruées bancaires : assurance-dépôts et réglementation des fonds propres "</w:t>
      </w:r>
      <w:r>
        <w:t xml:space="preserve"> en collaboration avec D.Goyeau et A.Sauviat, </w:t>
      </w:r>
      <w:r>
        <w:rPr>
          <w:u w:val="single"/>
        </w:rPr>
        <w:t>Revue d'Économie Politique</w:t>
      </w:r>
      <w:r>
        <w:t>, 104 (6) novembre- décembre 1994.</w:t>
      </w:r>
    </w:p>
    <w:p w:rsidR="000C4B81" w:rsidRDefault="005E4A49" w:rsidP="004E4AA9">
      <w:pPr>
        <w:spacing w:line="360" w:lineRule="atLeast"/>
        <w:ind w:left="860" w:hanging="380"/>
      </w:pPr>
      <w:r>
        <w:lastRenderedPageBreak/>
        <w:t xml:space="preserve">   •</w:t>
      </w:r>
      <w:r>
        <w:tab/>
      </w:r>
      <w:r>
        <w:rPr>
          <w:i/>
        </w:rPr>
        <w:t>" Responsabilité limitée et choix de portefeuille des banques "</w:t>
      </w:r>
      <w:r>
        <w:t xml:space="preserve"> en collaboration avec D.Goyeau et A.Sauviat, </w:t>
      </w:r>
      <w:r>
        <w:rPr>
          <w:u w:val="single"/>
        </w:rPr>
        <w:t>Finance</w:t>
      </w:r>
      <w:r>
        <w:t>, juin 1995.</w:t>
      </w:r>
    </w:p>
    <w:p w:rsidR="000C4B81" w:rsidRDefault="000C4B81" w:rsidP="004E4AA9">
      <w:pPr>
        <w:tabs>
          <w:tab w:val="left" w:pos="1701"/>
          <w:tab w:val="left" w:pos="1927"/>
        </w:tabs>
        <w:spacing w:line="360" w:lineRule="atLeast"/>
        <w:ind w:left="860" w:hanging="220"/>
      </w:pPr>
      <w:r>
        <w:t>•</w:t>
      </w:r>
      <w:r>
        <w:tab/>
      </w:r>
      <w:r>
        <w:rPr>
          <w:i/>
        </w:rPr>
        <w:t xml:space="preserve">"Ajustements des résultats bancaires aux taux d'intérêt : le cas du G5 " </w:t>
      </w:r>
      <w:r>
        <w:t xml:space="preserve">en collaboration avec D.Goyeau et A.Sauviat, </w:t>
      </w:r>
      <w:r>
        <w:rPr>
          <w:u w:val="single"/>
        </w:rPr>
        <w:t>Revue Française d'Economie,</w:t>
      </w:r>
      <w:r>
        <w:t xml:space="preserve"> Vol.13, n°2, Printemps, 1998.</w:t>
      </w:r>
    </w:p>
    <w:p w:rsidR="000C4B81" w:rsidRDefault="000C4B81" w:rsidP="004E4AA9">
      <w:pPr>
        <w:tabs>
          <w:tab w:val="left" w:pos="1701"/>
          <w:tab w:val="left" w:pos="1927"/>
        </w:tabs>
        <w:spacing w:line="360" w:lineRule="atLeast"/>
        <w:ind w:left="860" w:hanging="220"/>
      </w:pPr>
      <w:r>
        <w:t>•</w:t>
      </w:r>
      <w:r>
        <w:rPr>
          <w:i/>
        </w:rPr>
        <w:t>" Taille, rentabilité et risque bancaire : évaluation empirique et perspectives pour la réglementation prudentielle"</w:t>
      </w:r>
      <w:r>
        <w:t xml:space="preserve"> en collaboration avec D.Goyeau et A.Sauviat, </w:t>
      </w:r>
      <w:r>
        <w:rPr>
          <w:u w:val="single"/>
        </w:rPr>
        <w:t>Revue d'Économie Politique</w:t>
      </w:r>
      <w:r>
        <w:t>, 108 (3), mai-juin 1998.</w:t>
      </w:r>
    </w:p>
    <w:p w:rsidR="000C4B81" w:rsidRDefault="000C4B81" w:rsidP="004E4AA9">
      <w:pPr>
        <w:tabs>
          <w:tab w:val="left" w:pos="1701"/>
          <w:tab w:val="left" w:pos="1927"/>
        </w:tabs>
        <w:spacing w:line="360" w:lineRule="atLeast"/>
        <w:ind w:left="860" w:hanging="220"/>
      </w:pPr>
      <w:r>
        <w:t>•</w:t>
      </w:r>
      <w:r>
        <w:rPr>
          <w:i/>
        </w:rPr>
        <w:t xml:space="preserve">" Risque et marges d'intérêt optimales des banques commerciales d'Europe Centrale" </w:t>
      </w:r>
      <w:r>
        <w:t xml:space="preserve">en collaboration avec D. Goyeau et A. Sauviat, </w:t>
      </w:r>
      <w:r>
        <w:rPr>
          <w:u w:val="single"/>
        </w:rPr>
        <w:t>Revue Economique</w:t>
      </w:r>
      <w:r>
        <w:t>, vol 50, n°6, nov. 1999.</w:t>
      </w:r>
    </w:p>
    <w:p w:rsidR="000C4B81" w:rsidRDefault="000C4B81" w:rsidP="004E4AA9">
      <w:pPr>
        <w:tabs>
          <w:tab w:val="left" w:pos="1701"/>
          <w:tab w:val="left" w:pos="1927"/>
        </w:tabs>
        <w:spacing w:line="360" w:lineRule="atLeast"/>
        <w:ind w:left="860" w:hanging="220"/>
      </w:pPr>
      <w:r>
        <w:t>•</w:t>
      </w:r>
      <w:r>
        <w:rPr>
          <w:i/>
        </w:rPr>
        <w:t>" Marché financier évaluation du risque bancaire : les agences de notation contribuent-elles à améliorer la discipline de marché"</w:t>
      </w:r>
      <w:r>
        <w:t xml:space="preserve"> en collaboration avec D. Goyeau et A. Sauviat, </w:t>
      </w:r>
      <w:r>
        <w:rPr>
          <w:u w:val="single"/>
        </w:rPr>
        <w:t>Revue Economique,</w:t>
      </w:r>
      <w:r>
        <w:t xml:space="preserve"> vol 52, n°2, mars 2001.</w:t>
      </w:r>
    </w:p>
    <w:p w:rsidR="000C4B81" w:rsidRDefault="000C4B81" w:rsidP="004E4AA9">
      <w:pPr>
        <w:tabs>
          <w:tab w:val="left" w:pos="1701"/>
          <w:tab w:val="left" w:pos="1927"/>
        </w:tabs>
        <w:spacing w:line="360" w:lineRule="atLeast"/>
        <w:ind w:left="860" w:hanging="220"/>
      </w:pPr>
      <w:r>
        <w:t>•</w:t>
      </w:r>
      <w:r>
        <w:rPr>
          <w:i/>
        </w:rPr>
        <w:t>" Rentabilité bancaire et taux d'intérêt de marché : une application aux principaux systèmes bancaires européens sur la période 1988-1995"</w:t>
      </w:r>
      <w:r>
        <w:t xml:space="preserve"> en collaboration avec D. Goyeau et A. Sauviat, </w:t>
      </w:r>
      <w:r>
        <w:rPr>
          <w:u w:val="single"/>
        </w:rPr>
        <w:t>Revue d'Économie Politique</w:t>
      </w:r>
      <w:r>
        <w:t>, 112 (2), mars-avril 2002.</w:t>
      </w:r>
    </w:p>
    <w:p w:rsidR="000C4B81" w:rsidRDefault="000C4B81" w:rsidP="004E4AA9">
      <w:pPr>
        <w:tabs>
          <w:tab w:val="left" w:pos="1701"/>
          <w:tab w:val="left" w:pos="1927"/>
        </w:tabs>
        <w:spacing w:line="360" w:lineRule="atLeast"/>
        <w:ind w:left="860" w:hanging="220"/>
      </w:pPr>
      <w:r>
        <w:t xml:space="preserve">• </w:t>
      </w:r>
      <w:r>
        <w:rPr>
          <w:i/>
          <w:iCs/>
        </w:rPr>
        <w:t>«  Contrôle prudentiel et détection des difficultés financières des banques : quel est l'apport de l’information de marché? »</w:t>
      </w:r>
      <w:r>
        <w:t xml:space="preserve">, en collaboration avec I. Distinguin et Ph. Rous, </w:t>
      </w:r>
      <w:r>
        <w:rPr>
          <w:u w:val="single"/>
        </w:rPr>
        <w:t>Revue Economique,</w:t>
      </w:r>
      <w:r>
        <w:t xml:space="preserve"> vol 57, n°3, mai 2006.</w:t>
      </w:r>
    </w:p>
    <w:p w:rsidR="008F4DD1" w:rsidRDefault="008F4DD1" w:rsidP="004E4AA9">
      <w:pPr>
        <w:tabs>
          <w:tab w:val="left" w:pos="1701"/>
          <w:tab w:val="left" w:pos="1927"/>
        </w:tabs>
        <w:spacing w:line="360" w:lineRule="atLeast"/>
        <w:ind w:left="860" w:hanging="220"/>
      </w:pPr>
      <w:r>
        <w:t>•</w:t>
      </w:r>
      <w:r>
        <w:rPr>
          <w:i/>
        </w:rPr>
        <w:t xml:space="preserve"> « Les déterminants des crises bancaires dans l’UEMOA : une approche logit multinomiale »  </w:t>
      </w:r>
      <w:r>
        <w:t>avec A. Angora, Revue Economique de Bruxelles/</w:t>
      </w:r>
      <w:r>
        <w:rPr>
          <w:u w:val="single"/>
        </w:rPr>
        <w:t>Brussels Economic Review</w:t>
      </w:r>
      <w:r>
        <w:t>, vol 54(1), Printemps 2011.</w:t>
      </w:r>
    </w:p>
    <w:p w:rsidR="00D26BC7" w:rsidRDefault="00AA5636" w:rsidP="004E4AA9">
      <w:pPr>
        <w:tabs>
          <w:tab w:val="left" w:pos="1701"/>
          <w:tab w:val="left" w:pos="1927"/>
        </w:tabs>
        <w:spacing w:line="360" w:lineRule="atLeast"/>
        <w:ind w:left="860" w:hanging="220"/>
      </w:pPr>
      <w:r>
        <w:t>•</w:t>
      </w:r>
      <w:r>
        <w:rPr>
          <w:i/>
        </w:rPr>
        <w:t xml:space="preserve"> « Bâle 3 et la réhabilitation du ratio de levier des banques : Pourquoi et comment ?", </w:t>
      </w:r>
      <w:r>
        <w:t xml:space="preserve">avec C. Rugemintwari et A. Sauviat, </w:t>
      </w:r>
      <w:r>
        <w:rPr>
          <w:u w:val="single"/>
        </w:rPr>
        <w:t>Revue Economique</w:t>
      </w:r>
      <w:r>
        <w:t>, vol 63, n°4, juillet 2012.</w:t>
      </w:r>
    </w:p>
    <w:p w:rsidR="00AA5636" w:rsidRPr="00AA5636" w:rsidRDefault="00D26BC7" w:rsidP="004E4AA9">
      <w:pPr>
        <w:tabs>
          <w:tab w:val="left" w:pos="1701"/>
          <w:tab w:val="left" w:pos="1927"/>
        </w:tabs>
        <w:spacing w:line="360" w:lineRule="atLeast"/>
        <w:ind w:left="860" w:hanging="220"/>
      </w:pPr>
      <w:r>
        <w:rPr>
          <w:bCs/>
        </w:rPr>
        <w:t>•</w:t>
      </w:r>
      <w:r>
        <w:rPr>
          <w:bCs/>
          <w:i/>
        </w:rPr>
        <w:t> "Droits de contrôle versus droits pécuniaires, crise financière et vulnérabilité des banques européennes"</w:t>
      </w:r>
      <w:r>
        <w:rPr>
          <w:bCs/>
        </w:rPr>
        <w:t xml:space="preserve"> , avec N. Zedek, </w:t>
      </w:r>
      <w:r>
        <w:rPr>
          <w:bCs/>
          <w:u w:val="single"/>
        </w:rPr>
        <w:t>Revue Economique</w:t>
      </w:r>
      <w:r>
        <w:rPr>
          <w:bCs/>
        </w:rPr>
        <w:t xml:space="preserve">, vol 66, n°3, mai 2015. </w:t>
      </w:r>
      <w:r>
        <w:t xml:space="preserve">  </w:t>
      </w:r>
    </w:p>
    <w:p w:rsidR="008E172D" w:rsidRDefault="008E172D" w:rsidP="008E172D">
      <w:pPr>
        <w:tabs>
          <w:tab w:val="left" w:pos="1701"/>
          <w:tab w:val="left" w:pos="1927"/>
        </w:tabs>
        <w:spacing w:line="360" w:lineRule="atLeast"/>
      </w:pPr>
    </w:p>
    <w:p w:rsidR="000C4B81" w:rsidRPr="006C2965" w:rsidRDefault="000C4B81" w:rsidP="004E4AA9">
      <w:pPr>
        <w:pStyle w:val="Titre5"/>
        <w:ind w:left="284"/>
        <w:jc w:val="left"/>
        <w:rPr>
          <w:rFonts w:ascii="Arial" w:hAnsi="Arial" w:cs="Arial"/>
          <w:u w:val="single"/>
          <w:lang w:val="en-US"/>
        </w:rPr>
      </w:pPr>
      <w:r>
        <w:rPr>
          <w:rFonts w:ascii="Arial" w:hAnsi="Arial" w:cs="Arial"/>
          <w:u w:val="single"/>
          <w:lang w:val="en-US"/>
        </w:rPr>
        <w:t>Articles scientifiques en anglais</w:t>
      </w:r>
    </w:p>
    <w:p w:rsidR="00406FB8" w:rsidRPr="00EA5C49" w:rsidRDefault="00406FB8" w:rsidP="00406FB8">
      <w:pPr>
        <w:spacing w:line="360" w:lineRule="atLeast"/>
        <w:ind w:left="851" w:hanging="142"/>
        <w:rPr>
          <w:lang w:val="en-US"/>
        </w:rPr>
      </w:pPr>
      <w:r>
        <w:rPr>
          <w:lang w:val="en-US"/>
        </w:rPr>
        <w:t>•</w:t>
      </w:r>
      <w:r>
        <w:rPr>
          <w:i/>
          <w:lang w:val="en-US"/>
        </w:rPr>
        <w:t>" An empirical Investigation of Banking Risks in EC countries "</w:t>
      </w:r>
      <w:r>
        <w:rPr>
          <w:lang w:val="en-US"/>
        </w:rPr>
        <w:t xml:space="preserve">  , with D. Goyeau, in </w:t>
      </w:r>
      <w:r>
        <w:rPr>
          <w:u w:val="single"/>
          <w:lang w:val="en-US"/>
        </w:rPr>
        <w:t>Current</w:t>
      </w:r>
      <w:r>
        <w:rPr>
          <w:lang w:val="en-US"/>
        </w:rPr>
        <w:t xml:space="preserve"> </w:t>
      </w:r>
      <w:r>
        <w:rPr>
          <w:u w:val="single"/>
          <w:lang w:val="en-US"/>
        </w:rPr>
        <w:t>Politics and Economics of Europe</w:t>
      </w:r>
      <w:r>
        <w:rPr>
          <w:lang w:val="en-US"/>
        </w:rPr>
        <w:t xml:space="preserve">, Nova Science Publishers, 1995. </w:t>
      </w:r>
    </w:p>
    <w:p w:rsidR="00406FB8" w:rsidRPr="00EA5C49" w:rsidRDefault="00406FB8" w:rsidP="00406FB8">
      <w:pPr>
        <w:spacing w:line="360" w:lineRule="atLeast"/>
        <w:ind w:left="851" w:hanging="142"/>
        <w:rPr>
          <w:lang w:val="en-US"/>
        </w:rPr>
      </w:pPr>
      <w:r>
        <w:rPr>
          <w:lang w:val="en-US"/>
        </w:rPr>
        <w:t>•</w:t>
      </w:r>
      <w:r>
        <w:rPr>
          <w:lang w:val="en-US"/>
        </w:rPr>
        <w:tab/>
      </w:r>
      <w:r>
        <w:rPr>
          <w:i/>
          <w:lang w:val="en-US"/>
        </w:rPr>
        <w:t>" The prevention of bank runs in Eastern Europe : lessons from the west"</w:t>
      </w:r>
      <w:r>
        <w:rPr>
          <w:lang w:val="en-US"/>
        </w:rPr>
        <w:t xml:space="preserve">  , with D. Goyeau, in </w:t>
      </w:r>
      <w:r>
        <w:rPr>
          <w:u w:val="single"/>
          <w:lang w:val="en-US"/>
        </w:rPr>
        <w:t>Financial Reform in Central and Eastern Europe,</w:t>
      </w:r>
      <w:r>
        <w:rPr>
          <w:lang w:val="en-US"/>
        </w:rPr>
        <w:t xml:space="preserve"> Nova Science Publishers, New York 1997. </w:t>
      </w:r>
    </w:p>
    <w:p w:rsidR="00406FB8" w:rsidRPr="00EA5C49" w:rsidRDefault="00406FB8" w:rsidP="00406FB8">
      <w:pPr>
        <w:spacing w:line="360" w:lineRule="atLeast"/>
        <w:ind w:left="851" w:hanging="142"/>
        <w:rPr>
          <w:lang w:val="en-US"/>
        </w:rPr>
      </w:pPr>
      <w:r>
        <w:rPr>
          <w:lang w:val="en-US"/>
        </w:rPr>
        <w:t>•</w:t>
      </w:r>
      <w:r>
        <w:rPr>
          <w:lang w:val="en-US"/>
        </w:rPr>
        <w:tab/>
      </w:r>
      <w:r>
        <w:rPr>
          <w:i/>
          <w:lang w:val="en-US"/>
        </w:rPr>
        <w:t>" The impact of Banking regulation on structure and performance: the case of Central and Eastern European Countries"</w:t>
      </w:r>
      <w:r>
        <w:rPr>
          <w:lang w:val="en-US"/>
        </w:rPr>
        <w:t xml:space="preserve"> , with C. Gondat-Larralde, in </w:t>
      </w:r>
      <w:r>
        <w:rPr>
          <w:u w:val="single"/>
          <w:lang w:val="en-US"/>
        </w:rPr>
        <w:t>Economic Performance and Financial Sector Reform in Central and Eastern Europe</w:t>
      </w:r>
      <w:r>
        <w:rPr>
          <w:lang w:val="en-US"/>
        </w:rPr>
        <w:t>, Edward Elgar, 1999.</w:t>
      </w:r>
    </w:p>
    <w:p w:rsidR="00406FB8" w:rsidRPr="00EA5C49" w:rsidRDefault="00406FB8" w:rsidP="00406FB8">
      <w:pPr>
        <w:spacing w:line="360" w:lineRule="atLeast"/>
        <w:ind w:left="851" w:hanging="142"/>
        <w:rPr>
          <w:lang w:val="en-US"/>
        </w:rPr>
      </w:pPr>
      <w:r>
        <w:rPr>
          <w:lang w:val="en-US"/>
        </w:rPr>
        <w:t>•</w:t>
      </w:r>
      <w:r>
        <w:rPr>
          <w:i/>
          <w:lang w:val="en-US"/>
        </w:rPr>
        <w:t>" Risk and Optimal Interest Margins : the Case of Commercial Banks in Central Europe"</w:t>
      </w:r>
      <w:r>
        <w:rPr>
          <w:lang w:val="en-US"/>
        </w:rPr>
        <w:t xml:space="preserve"> with D. Goyeau and A. Sauviat, in </w:t>
      </w:r>
      <w:r>
        <w:rPr>
          <w:u w:val="single"/>
          <w:lang w:val="en-US"/>
        </w:rPr>
        <w:t>Financial and Monetary Integration in the New Europe : Convergence between the EU and Central and Eastern Europe</w:t>
      </w:r>
      <w:r>
        <w:rPr>
          <w:lang w:val="en-US"/>
        </w:rPr>
        <w:t>, Edward Elgar, April 2002.</w:t>
      </w:r>
    </w:p>
    <w:p w:rsidR="00406FB8" w:rsidRPr="00406FB8" w:rsidRDefault="00406FB8" w:rsidP="00406FB8">
      <w:pPr>
        <w:spacing w:line="360" w:lineRule="atLeast"/>
        <w:ind w:left="851" w:hanging="142"/>
        <w:rPr>
          <w:lang w:val="en-GB"/>
        </w:rPr>
      </w:pPr>
      <w:r>
        <w:rPr>
          <w:lang w:val="en-GB"/>
        </w:rPr>
        <w:lastRenderedPageBreak/>
        <w:t xml:space="preserve">• </w:t>
      </w:r>
      <w:r>
        <w:rPr>
          <w:i/>
          <w:iCs/>
          <w:lang w:val="en-GB"/>
        </w:rPr>
        <w:t>“Bank stock volatility, news and asymmetric information in Banking : an empirical investigation»,</w:t>
      </w:r>
      <w:r>
        <w:rPr>
          <w:lang w:val="en-GB"/>
        </w:rPr>
        <w:t xml:space="preserve"> with C. Crouzille et L. Lepetit, </w:t>
      </w:r>
      <w:r>
        <w:rPr>
          <w:u w:val="single"/>
          <w:lang w:val="en-GB"/>
        </w:rPr>
        <w:t>Journal of Multinational Financial Management,</w:t>
      </w:r>
      <w:r>
        <w:rPr>
          <w:lang w:val="en-GB"/>
        </w:rPr>
        <w:t xml:space="preserve"> vol. 14, 4-5, October-December 2004.</w:t>
      </w:r>
    </w:p>
    <w:p w:rsidR="00406FB8" w:rsidRPr="00406FB8" w:rsidRDefault="00406FB8" w:rsidP="00406FB8">
      <w:pPr>
        <w:spacing w:line="360" w:lineRule="atLeast"/>
        <w:ind w:left="851" w:hanging="142"/>
        <w:rPr>
          <w:lang w:val="en-GB"/>
        </w:rPr>
      </w:pPr>
      <w:r>
        <w:rPr>
          <w:lang w:val="en-GB"/>
        </w:rPr>
        <w:t>•  “</w:t>
      </w:r>
      <w:r>
        <w:rPr>
          <w:i/>
          <w:iCs/>
          <w:lang w:val="en-GB"/>
        </w:rPr>
        <w:t xml:space="preserve">Reaction of European Bank stock prices to events of the Asian and Russian Financial crises” </w:t>
      </w:r>
      <w:r>
        <w:rPr>
          <w:lang w:val="en-GB"/>
        </w:rPr>
        <w:t xml:space="preserve">with C. Crouzille et L. Lepetit, </w:t>
      </w:r>
      <w:r>
        <w:rPr>
          <w:u w:val="single"/>
          <w:lang w:val="en-GB"/>
        </w:rPr>
        <w:t xml:space="preserve">Revue d’Economie Politique, </w:t>
      </w:r>
      <w:r>
        <w:rPr>
          <w:lang w:val="en-GB"/>
        </w:rPr>
        <w:t>116(4), juillet-août 2006.</w:t>
      </w:r>
    </w:p>
    <w:p w:rsidR="00406FB8" w:rsidRPr="00406FB8" w:rsidRDefault="00406FB8" w:rsidP="00406FB8">
      <w:pPr>
        <w:spacing w:line="360" w:lineRule="atLeast"/>
        <w:ind w:left="851" w:hanging="142"/>
        <w:rPr>
          <w:lang w:val="en-GB"/>
        </w:rPr>
      </w:pPr>
      <w:r>
        <w:rPr>
          <w:lang w:val="en-GB"/>
        </w:rPr>
        <w:t xml:space="preserve">• </w:t>
      </w:r>
      <w:r>
        <w:rPr>
          <w:i/>
          <w:lang w:val="en-GB"/>
        </w:rPr>
        <w:t>"</w:t>
      </w:r>
      <w:r>
        <w:rPr>
          <w:bCs/>
          <w:i/>
          <w:iCs/>
          <w:lang w:val="en-GB"/>
        </w:rPr>
        <w:t>Market Discipline and the Use of Stock Market Data to Predict Bank Financial Distress »</w:t>
      </w:r>
      <w:r>
        <w:rPr>
          <w:lang w:val="en-GB"/>
        </w:rPr>
        <w:t xml:space="preserve"> with I. Distinguin et Ph. Rous, </w:t>
      </w:r>
      <w:r>
        <w:rPr>
          <w:u w:val="single"/>
          <w:lang w:val="en-GB"/>
        </w:rPr>
        <w:t>Journal of Financial Services Research</w:t>
      </w:r>
      <w:r>
        <w:rPr>
          <w:lang w:val="en-GB"/>
        </w:rPr>
        <w:t>, vol. 30, n° 2, October 2006.</w:t>
      </w:r>
    </w:p>
    <w:p w:rsidR="00406FB8" w:rsidRPr="00406FB8" w:rsidRDefault="00406FB8" w:rsidP="00406FB8">
      <w:pPr>
        <w:spacing w:line="360" w:lineRule="atLeast"/>
        <w:ind w:left="851" w:hanging="142"/>
        <w:rPr>
          <w:lang w:val="en-GB"/>
        </w:rPr>
      </w:pPr>
      <w:r>
        <w:rPr>
          <w:lang w:val="en-GB"/>
        </w:rPr>
        <w:t>• “</w:t>
      </w:r>
      <w:r>
        <w:rPr>
          <w:i/>
          <w:iCs/>
          <w:lang w:val="en-GB"/>
        </w:rPr>
        <w:t xml:space="preserve">Bank Income Structure and Risk : An Empirical Analysis of European Banks”, </w:t>
      </w:r>
      <w:r>
        <w:rPr>
          <w:lang w:val="en-GB"/>
        </w:rPr>
        <w:t xml:space="preserve">with L. Lepetit, E. Nys and Ph. Rous, </w:t>
      </w:r>
      <w:r>
        <w:rPr>
          <w:u w:val="single"/>
          <w:lang w:val="en-GB"/>
        </w:rPr>
        <w:t>Journal of Banking and Finance</w:t>
      </w:r>
      <w:r>
        <w:rPr>
          <w:lang w:val="en-GB"/>
        </w:rPr>
        <w:t>, 32, 1452-1467, August 2008.</w:t>
      </w:r>
    </w:p>
    <w:p w:rsidR="00406FB8" w:rsidRPr="00406FB8" w:rsidRDefault="00406FB8" w:rsidP="00406FB8">
      <w:pPr>
        <w:spacing w:line="360" w:lineRule="atLeast"/>
        <w:ind w:left="851" w:hanging="142"/>
        <w:rPr>
          <w:lang w:val="en-GB"/>
        </w:rPr>
      </w:pPr>
      <w:r>
        <w:rPr>
          <w:lang w:val="en-GB"/>
        </w:rPr>
        <w:t>• “</w:t>
      </w:r>
      <w:r>
        <w:rPr>
          <w:i/>
          <w:iCs/>
          <w:lang w:val="en-GB"/>
        </w:rPr>
        <w:t xml:space="preserve">The expansion  of services in European banking: implications for loan pricing and interest margins”, </w:t>
      </w:r>
      <w:r>
        <w:rPr>
          <w:lang w:val="en-GB"/>
        </w:rPr>
        <w:t xml:space="preserve">with L. Lepetit, E. Nys and Ph. Rous, </w:t>
      </w:r>
      <w:r>
        <w:rPr>
          <w:u w:val="single"/>
          <w:lang w:val="en-GB"/>
        </w:rPr>
        <w:t xml:space="preserve">Journal of Banking and Finance, </w:t>
      </w:r>
      <w:r>
        <w:rPr>
          <w:lang w:val="en-GB"/>
        </w:rPr>
        <w:t xml:space="preserve">32, 2325-2335, November 2008. </w:t>
      </w:r>
    </w:p>
    <w:p w:rsidR="00406FB8" w:rsidRPr="00406FB8" w:rsidRDefault="00406FB8" w:rsidP="00406FB8">
      <w:pPr>
        <w:spacing w:line="360" w:lineRule="atLeast"/>
        <w:ind w:left="851" w:hanging="142"/>
        <w:rPr>
          <w:bCs/>
          <w:u w:val="single"/>
          <w:lang w:val="en-GB"/>
        </w:rPr>
      </w:pPr>
      <w:r>
        <w:rPr>
          <w:lang w:val="en-GB"/>
        </w:rPr>
        <w:t>• “</w:t>
      </w:r>
      <w:r>
        <w:rPr>
          <w:i/>
          <w:iCs/>
          <w:lang w:val="en-GB"/>
        </w:rPr>
        <w:t>The determinants of Domestic and  cross border bank contagion risk in South East Asia</w:t>
      </w:r>
      <w:r>
        <w:rPr>
          <w:bCs/>
          <w:i/>
          <w:iCs/>
          <w:lang w:val="en-GB"/>
        </w:rPr>
        <w:t>”,</w:t>
      </w:r>
      <w:r>
        <w:rPr>
          <w:bCs/>
          <w:lang w:val="en-GB"/>
        </w:rPr>
        <w:t xml:space="preserve"> with C. Bautista and Ph. Rous, </w:t>
      </w:r>
      <w:r>
        <w:rPr>
          <w:bCs/>
          <w:u w:val="single"/>
          <w:lang w:val="en-GB"/>
        </w:rPr>
        <w:t>Revue Economique</w:t>
      </w:r>
      <w:r>
        <w:rPr>
          <w:bCs/>
          <w:lang w:val="en-GB"/>
        </w:rPr>
        <w:t>, vol. 59, n°6, Novembre 2008.</w:t>
      </w:r>
      <w:r>
        <w:rPr>
          <w:bCs/>
          <w:u w:val="single"/>
          <w:lang w:val="en-GB"/>
        </w:rPr>
        <w:t xml:space="preserve"> </w:t>
      </w:r>
    </w:p>
    <w:p w:rsidR="00406FB8" w:rsidRPr="00406FB8" w:rsidRDefault="00406FB8" w:rsidP="00406FB8">
      <w:pPr>
        <w:spacing w:line="360" w:lineRule="atLeast"/>
        <w:ind w:left="851" w:hanging="142"/>
        <w:rPr>
          <w:iCs/>
          <w:lang w:val="en-GB"/>
        </w:rPr>
      </w:pPr>
      <w:r>
        <w:rPr>
          <w:lang w:val="en-GB"/>
        </w:rPr>
        <w:t>• “</w:t>
      </w:r>
      <w:r>
        <w:rPr>
          <w:i/>
          <w:iCs/>
          <w:lang w:val="en-GB"/>
        </w:rPr>
        <w:t>The determinants of bank stock’s returns co-movements in East Asia”,</w:t>
      </w:r>
      <w:r>
        <w:rPr>
          <w:iCs/>
          <w:lang w:val="en-GB"/>
        </w:rPr>
        <w:t xml:space="preserve"> with C. Bautista and Ph. Rous, </w:t>
      </w:r>
      <w:r>
        <w:rPr>
          <w:iCs/>
          <w:u w:val="single"/>
          <w:lang w:val="en-GB"/>
        </w:rPr>
        <w:t>Economics Bulletin</w:t>
      </w:r>
      <w:r>
        <w:rPr>
          <w:iCs/>
          <w:lang w:val="en-GB"/>
        </w:rPr>
        <w:t xml:space="preserve">, 29-3, July, 2009. </w:t>
      </w:r>
    </w:p>
    <w:p w:rsidR="00406FB8" w:rsidRPr="00EA5C49" w:rsidRDefault="00406FB8" w:rsidP="00406FB8">
      <w:pPr>
        <w:spacing w:line="360" w:lineRule="atLeast"/>
        <w:ind w:left="851" w:hanging="142"/>
        <w:rPr>
          <w:lang w:val="en-US"/>
        </w:rPr>
      </w:pPr>
      <w:r>
        <w:rPr>
          <w:lang w:val="en-GB"/>
        </w:rPr>
        <w:t xml:space="preserve">• </w:t>
      </w:r>
      <w:r>
        <w:rPr>
          <w:i/>
          <w:lang w:val="en-US"/>
        </w:rPr>
        <w:t>"Are early market indicators of financial deterioration accurate for Too Big To Fail banks? Evidence from East Asia"</w:t>
      </w:r>
      <w:r>
        <w:rPr>
          <w:lang w:val="en-US"/>
        </w:rPr>
        <w:t xml:space="preserve">, With I. Distinguin, </w:t>
      </w:r>
      <w:r>
        <w:rPr>
          <w:u w:val="single"/>
          <w:lang w:val="en-US"/>
        </w:rPr>
        <w:t>Economics Bulletin,</w:t>
      </w:r>
      <w:r>
        <w:rPr>
          <w:lang w:val="en-US"/>
        </w:rPr>
        <w:t xml:space="preserve"> vol. 30 (2), June 2010. </w:t>
      </w:r>
    </w:p>
    <w:p w:rsidR="00406FB8" w:rsidRPr="00406FB8" w:rsidRDefault="00406FB8" w:rsidP="00406FB8">
      <w:pPr>
        <w:spacing w:line="360" w:lineRule="atLeast"/>
        <w:ind w:left="851" w:hanging="142"/>
        <w:rPr>
          <w:iCs/>
          <w:lang w:val="en-GB"/>
        </w:rPr>
      </w:pPr>
      <w:r>
        <w:rPr>
          <w:lang w:val="en-GB"/>
        </w:rPr>
        <w:t>•</w:t>
      </w:r>
      <w:r>
        <w:rPr>
          <w:iCs/>
          <w:lang w:val="en-GB"/>
        </w:rPr>
        <w:t xml:space="preserve"> </w:t>
      </w:r>
      <w:r>
        <w:rPr>
          <w:i/>
          <w:lang w:val="en-US"/>
        </w:rPr>
        <w:t>"The Use of Accounting Data to Predict Bank Financial Distress in MENA Countries"</w:t>
      </w:r>
      <w:r>
        <w:rPr>
          <w:lang w:val="en-US"/>
        </w:rPr>
        <w:t xml:space="preserve">, with I. Hasan and I. Distinguin, </w:t>
      </w:r>
      <w:r>
        <w:rPr>
          <w:u w:val="single"/>
          <w:lang w:val="en-US"/>
        </w:rPr>
        <w:t xml:space="preserve">International Journal of Banking, Accounting and Finance, </w:t>
      </w:r>
      <w:r>
        <w:rPr>
          <w:lang w:val="en-US"/>
        </w:rPr>
        <w:t>vol. 2, n°4, 2010.</w:t>
      </w:r>
      <w:r>
        <w:rPr>
          <w:u w:val="single"/>
          <w:lang w:val="en-US"/>
        </w:rPr>
        <w:t xml:space="preserve"> </w:t>
      </w:r>
    </w:p>
    <w:p w:rsidR="00406FB8" w:rsidRPr="00406FB8" w:rsidRDefault="00406FB8" w:rsidP="00406FB8">
      <w:pPr>
        <w:spacing w:line="360" w:lineRule="atLeast"/>
        <w:ind w:left="851" w:hanging="142"/>
        <w:rPr>
          <w:iCs/>
          <w:lang w:val="en-GB"/>
        </w:rPr>
      </w:pPr>
      <w:r>
        <w:rPr>
          <w:lang w:val="en-GB"/>
        </w:rPr>
        <w:t xml:space="preserve"> •</w:t>
      </w:r>
      <w:r>
        <w:rPr>
          <w:lang w:val="en-US"/>
        </w:rPr>
        <w:t xml:space="preserve"> </w:t>
      </w:r>
      <w:r>
        <w:rPr>
          <w:i/>
          <w:lang w:val="en-US"/>
        </w:rPr>
        <w:t>"Ownership structure and bank efficiency in the Asia Pacific region"</w:t>
      </w:r>
      <w:r>
        <w:rPr>
          <w:lang w:val="en-US"/>
        </w:rPr>
        <w:t xml:space="preserve">, with T. Barry, S. Dacanay and L. Lepetit, </w:t>
      </w:r>
      <w:r>
        <w:rPr>
          <w:u w:val="single"/>
          <w:lang w:val="en-GB"/>
        </w:rPr>
        <w:t>Philippine Management Review</w:t>
      </w:r>
      <w:r>
        <w:rPr>
          <w:lang w:val="en-GB"/>
        </w:rPr>
        <w:t xml:space="preserve">, </w:t>
      </w:r>
      <w:r>
        <w:rPr>
          <w:lang w:val="en-US"/>
        </w:rPr>
        <w:t>vol. 18, 2011.</w:t>
      </w:r>
    </w:p>
    <w:p w:rsidR="00406FB8" w:rsidRPr="00406FB8" w:rsidRDefault="00406FB8" w:rsidP="00406FB8">
      <w:pPr>
        <w:spacing w:line="360" w:lineRule="atLeast"/>
        <w:ind w:left="851" w:hanging="142"/>
        <w:rPr>
          <w:iCs/>
          <w:lang w:val="en-GB"/>
        </w:rPr>
      </w:pPr>
      <w:r>
        <w:rPr>
          <w:lang w:val="en-GB"/>
        </w:rPr>
        <w:t xml:space="preserve"> •</w:t>
      </w:r>
      <w:r>
        <w:rPr>
          <w:lang w:val="en-US"/>
        </w:rPr>
        <w:t xml:space="preserve"> </w:t>
      </w:r>
      <w:r>
        <w:rPr>
          <w:i/>
          <w:lang w:val="en-GB"/>
        </w:rPr>
        <w:t>"</w:t>
      </w:r>
      <w:r>
        <w:rPr>
          <w:bCs/>
          <w:i/>
          <w:iCs/>
          <w:lang w:val="en-GB"/>
        </w:rPr>
        <w:t>The use of accounting and stock market data to predict bank financial distress: the case of East Asian banks"</w:t>
      </w:r>
      <w:r>
        <w:rPr>
          <w:lang w:val="en-GB"/>
        </w:rPr>
        <w:t xml:space="preserve">, with J. Trinidad and I. Distinguin  </w:t>
      </w:r>
      <w:r>
        <w:rPr>
          <w:u w:val="single"/>
          <w:lang w:val="en-GB"/>
        </w:rPr>
        <w:t xml:space="preserve">Philippine Management Review, </w:t>
      </w:r>
      <w:r>
        <w:rPr>
          <w:lang w:val="en-US"/>
        </w:rPr>
        <w:t>vol. 18, 2011</w:t>
      </w:r>
      <w:r>
        <w:rPr>
          <w:lang w:val="en-GB"/>
        </w:rPr>
        <w:t>.</w:t>
      </w:r>
      <w:r>
        <w:rPr>
          <w:u w:val="single"/>
          <w:lang w:val="en-GB"/>
        </w:rPr>
        <w:t xml:space="preserve"> </w:t>
      </w:r>
    </w:p>
    <w:p w:rsidR="00406FB8" w:rsidRPr="00EA5C49" w:rsidRDefault="00406FB8" w:rsidP="00406FB8">
      <w:pPr>
        <w:spacing w:line="360" w:lineRule="atLeast"/>
        <w:ind w:left="851" w:hanging="142"/>
        <w:rPr>
          <w:lang w:val="en-US"/>
        </w:rPr>
      </w:pPr>
      <w:r>
        <w:rPr>
          <w:lang w:val="en-GB"/>
        </w:rPr>
        <w:t xml:space="preserve"> • </w:t>
      </w:r>
      <w:r>
        <w:rPr>
          <w:lang w:val="en-US"/>
        </w:rPr>
        <w:t>"</w:t>
      </w:r>
      <w:r>
        <w:rPr>
          <w:i/>
          <w:lang w:val="en-US"/>
        </w:rPr>
        <w:t>Ownership structure and risk in publicly held and privately owned Banks</w:t>
      </w:r>
      <w:r>
        <w:rPr>
          <w:lang w:val="en-US"/>
        </w:rPr>
        <w:t xml:space="preserve">", with T. Barry and L. Lepetit, </w:t>
      </w:r>
      <w:r>
        <w:rPr>
          <w:u w:val="single"/>
          <w:lang w:val="en-US"/>
        </w:rPr>
        <w:t>Journal of Banking and Finance</w:t>
      </w:r>
      <w:r>
        <w:rPr>
          <w:lang w:val="en-US"/>
        </w:rPr>
        <w:t>, vol. 35, May 2011.</w:t>
      </w:r>
    </w:p>
    <w:p w:rsidR="00406FB8" w:rsidRPr="00EA5C49" w:rsidRDefault="00406FB8" w:rsidP="00406FB8">
      <w:pPr>
        <w:spacing w:line="360" w:lineRule="atLeast"/>
        <w:ind w:left="851" w:hanging="142"/>
        <w:rPr>
          <w:bCs/>
          <w:lang w:val="en-US"/>
        </w:rPr>
      </w:pPr>
      <w:r>
        <w:rPr>
          <w:lang w:val="en-GB"/>
        </w:rPr>
        <w:t xml:space="preserve">• </w:t>
      </w:r>
      <w:r>
        <w:rPr>
          <w:lang w:val="en-US"/>
        </w:rPr>
        <w:t>"</w:t>
      </w:r>
      <w:r>
        <w:rPr>
          <w:i/>
          <w:lang w:val="en-US"/>
        </w:rPr>
        <w:t>Bank market power, economic growth and financial stability : Evidence from Asian banks</w:t>
      </w:r>
      <w:r>
        <w:rPr>
          <w:lang w:val="en-US"/>
        </w:rPr>
        <w:t xml:space="preserve">", </w:t>
      </w:r>
      <w:r>
        <w:rPr>
          <w:bCs/>
          <w:lang w:val="id-ID"/>
        </w:rPr>
        <w:t>with F. Machrouh and W. Soedarmono</w:t>
      </w:r>
      <w:r>
        <w:rPr>
          <w:bCs/>
          <w:lang w:val="en-US"/>
        </w:rPr>
        <w:t xml:space="preserve">, </w:t>
      </w:r>
      <w:r>
        <w:rPr>
          <w:bCs/>
          <w:u w:val="single"/>
          <w:lang w:val="en-US"/>
        </w:rPr>
        <w:t>Journal of Asian Economics</w:t>
      </w:r>
      <w:r>
        <w:rPr>
          <w:bCs/>
          <w:lang w:val="en-US"/>
        </w:rPr>
        <w:t>, vol. 22(6), 460-470, December 2011.</w:t>
      </w:r>
    </w:p>
    <w:p w:rsidR="00334132" w:rsidRDefault="00334132" w:rsidP="00406FB8">
      <w:pPr>
        <w:spacing w:line="360" w:lineRule="atLeast"/>
        <w:ind w:left="851" w:hanging="142"/>
        <w:rPr>
          <w:iCs/>
          <w:lang w:val="en-GB"/>
        </w:rPr>
      </w:pPr>
      <w:r>
        <w:rPr>
          <w:iCs/>
          <w:lang w:val="en-GB"/>
        </w:rPr>
        <w:t>•</w:t>
      </w:r>
      <w:r>
        <w:rPr>
          <w:bCs/>
          <w:i/>
          <w:iCs/>
          <w:lang w:val="id-ID"/>
        </w:rPr>
        <w:t xml:space="preserve">  “</w:t>
      </w:r>
      <w:r>
        <w:rPr>
          <w:bCs/>
          <w:i/>
          <w:iCs/>
          <w:lang w:val="en-US"/>
        </w:rPr>
        <w:t>Bank Competition, Crisis and Risk Taking: Evidence from Emerging Markets in Asia</w:t>
      </w:r>
      <w:r>
        <w:rPr>
          <w:bCs/>
          <w:i/>
          <w:iCs/>
          <w:lang w:val="id-ID"/>
        </w:rPr>
        <w:t xml:space="preserve">” </w:t>
      </w:r>
      <w:r>
        <w:rPr>
          <w:bCs/>
          <w:iCs/>
          <w:lang w:val="id-ID"/>
        </w:rPr>
        <w:t xml:space="preserve">with F. Machrouh and W. Soedarmono, </w:t>
      </w:r>
      <w:r>
        <w:rPr>
          <w:bCs/>
          <w:iCs/>
          <w:u w:val="single"/>
          <w:lang w:val="en-US"/>
        </w:rPr>
        <w:t>Journal of International Financial Markets, Institutions and Money</w:t>
      </w:r>
      <w:r>
        <w:rPr>
          <w:bCs/>
          <w:iCs/>
          <w:lang w:val="en-US"/>
        </w:rPr>
        <w:t>, vol. 23, February 2013.</w:t>
      </w:r>
    </w:p>
    <w:p w:rsidR="00602BB4" w:rsidRPr="00EA5C49" w:rsidRDefault="00602BB4" w:rsidP="00406FB8">
      <w:pPr>
        <w:spacing w:line="360" w:lineRule="atLeast"/>
        <w:ind w:left="851" w:hanging="142"/>
        <w:rPr>
          <w:iCs/>
          <w:lang w:val="en-US"/>
        </w:rPr>
      </w:pPr>
      <w:r>
        <w:rPr>
          <w:lang w:val="en-GB"/>
        </w:rPr>
        <w:lastRenderedPageBreak/>
        <w:t>• “</w:t>
      </w:r>
      <w:r>
        <w:rPr>
          <w:i/>
          <w:iCs/>
          <w:lang w:val="en-US"/>
        </w:rPr>
        <w:t xml:space="preserve">Interbank Deposits and Market Discipline: Evidence from Central and Eastern Europe", </w:t>
      </w:r>
      <w:r>
        <w:rPr>
          <w:iCs/>
          <w:lang w:val="en-US"/>
        </w:rPr>
        <w:t xml:space="preserve">with I. Distinguin and T. Kouassi, </w:t>
      </w:r>
      <w:r>
        <w:rPr>
          <w:iCs/>
          <w:u w:val="single"/>
          <w:lang w:val="en-US"/>
        </w:rPr>
        <w:t>Journal of Comparative Economics</w:t>
      </w:r>
      <w:r>
        <w:rPr>
          <w:iCs/>
          <w:lang w:val="en-US"/>
        </w:rPr>
        <w:t>, vol. 41(2), May 2013.</w:t>
      </w:r>
    </w:p>
    <w:p w:rsidR="003B32E6" w:rsidRPr="003B32E6" w:rsidRDefault="003B32E6" w:rsidP="00406FB8">
      <w:pPr>
        <w:spacing w:line="360" w:lineRule="atLeast"/>
        <w:ind w:left="851" w:hanging="142"/>
        <w:rPr>
          <w:bCs/>
          <w:iCs/>
          <w:lang w:val="en-GB"/>
        </w:rPr>
      </w:pPr>
      <w:r>
        <w:rPr>
          <w:bCs/>
          <w:iCs/>
          <w:lang w:val="en-GB"/>
        </w:rPr>
        <w:t>• “</w:t>
      </w:r>
      <w:r>
        <w:rPr>
          <w:bCs/>
          <w:i/>
          <w:iCs/>
          <w:lang w:val="en-US"/>
        </w:rPr>
        <w:t>Ex ante capital position, changes in the different components of regulatory capital and bank risk</w:t>
      </w:r>
      <w:r>
        <w:rPr>
          <w:bCs/>
          <w:iCs/>
          <w:lang w:val="en-GB"/>
        </w:rPr>
        <w:t xml:space="preserve">”, with B. Camara and L. Lepetit, </w:t>
      </w:r>
      <w:r>
        <w:rPr>
          <w:bCs/>
          <w:iCs/>
          <w:u w:val="single"/>
          <w:lang w:val="en-GB"/>
        </w:rPr>
        <w:t>Applied Economics</w:t>
      </w:r>
      <w:r>
        <w:rPr>
          <w:bCs/>
          <w:iCs/>
          <w:lang w:val="en-GB"/>
        </w:rPr>
        <w:t>, 45(34) 4831-4856, July 2013.</w:t>
      </w:r>
    </w:p>
    <w:p w:rsidR="003B32E6" w:rsidRPr="00334132" w:rsidRDefault="003B32E6" w:rsidP="00406FB8">
      <w:pPr>
        <w:spacing w:line="360" w:lineRule="atLeast"/>
        <w:ind w:left="851" w:hanging="142"/>
        <w:rPr>
          <w:iCs/>
          <w:lang w:val="en-GB"/>
        </w:rPr>
      </w:pPr>
      <w:r>
        <w:rPr>
          <w:iCs/>
          <w:lang w:val="en-GB"/>
        </w:rPr>
        <w:t>• “</w:t>
      </w:r>
      <w:r>
        <w:rPr>
          <w:i/>
          <w:iCs/>
          <w:lang w:val="en-GB"/>
        </w:rPr>
        <w:t>Predicting rating changes for banks : how accurate are accounting and stock market indicators?,</w:t>
      </w:r>
      <w:r>
        <w:rPr>
          <w:iCs/>
          <w:lang w:val="en-GB"/>
        </w:rPr>
        <w:t xml:space="preserve"> with I. Distinguin and I. Hasan, </w:t>
      </w:r>
      <w:r>
        <w:rPr>
          <w:iCs/>
          <w:u w:val="single"/>
          <w:lang w:val="en-GB"/>
        </w:rPr>
        <w:t>Annals of Finance</w:t>
      </w:r>
      <w:r>
        <w:rPr>
          <w:iCs/>
          <w:lang w:val="en-GB"/>
        </w:rPr>
        <w:t>, vol. 9(3) 471-500, August 2013.</w:t>
      </w:r>
    </w:p>
    <w:p w:rsidR="00406FB8" w:rsidRPr="00EA5C49" w:rsidRDefault="00406FB8" w:rsidP="00406FB8">
      <w:pPr>
        <w:spacing w:line="360" w:lineRule="atLeast"/>
        <w:ind w:left="851" w:hanging="142"/>
        <w:rPr>
          <w:lang w:val="en-US"/>
        </w:rPr>
      </w:pPr>
      <w:r>
        <w:rPr>
          <w:lang w:val="en-GB"/>
        </w:rPr>
        <w:t>• “</w:t>
      </w:r>
      <w:r>
        <w:rPr>
          <w:bCs/>
          <w:i/>
          <w:iCs/>
          <w:lang w:val="en-US"/>
        </w:rPr>
        <w:t>Bank Regulatory Capital and Liquidity: Evidence from US and European publicly traded banks"</w:t>
      </w:r>
      <w:r>
        <w:rPr>
          <w:bCs/>
          <w:iCs/>
          <w:lang w:val="en-US"/>
        </w:rPr>
        <w:t xml:space="preserve">, with I. Distinguin and C. Roulet, </w:t>
      </w:r>
      <w:r>
        <w:rPr>
          <w:u w:val="single"/>
          <w:lang w:val="en-US"/>
        </w:rPr>
        <w:t>Journal of Banking and Finance</w:t>
      </w:r>
      <w:r>
        <w:rPr>
          <w:lang w:val="en-US"/>
        </w:rPr>
        <w:t>, 37, 3295-3317, September 2013.</w:t>
      </w:r>
    </w:p>
    <w:p w:rsidR="003B32E6" w:rsidRPr="00EA5C49" w:rsidRDefault="003B32E6" w:rsidP="00406FB8">
      <w:pPr>
        <w:spacing w:line="360" w:lineRule="atLeast"/>
        <w:ind w:left="851" w:hanging="142"/>
        <w:rPr>
          <w:bCs/>
          <w:iCs/>
          <w:lang w:val="en-US"/>
        </w:rPr>
      </w:pPr>
      <w:r>
        <w:rPr>
          <w:bCs/>
          <w:iCs/>
          <w:lang w:val="en-GB"/>
        </w:rPr>
        <w:t>•</w:t>
      </w:r>
      <w:r>
        <w:rPr>
          <w:bCs/>
          <w:i/>
          <w:iCs/>
          <w:lang w:val="en-US"/>
        </w:rPr>
        <w:t xml:space="preserve">“Risk in Islamic Banking", </w:t>
      </w:r>
      <w:r>
        <w:rPr>
          <w:bCs/>
          <w:iCs/>
          <w:lang w:val="en-US"/>
        </w:rPr>
        <w:t xml:space="preserve">with P. Abedifar and Phil. Molyneux, </w:t>
      </w:r>
      <w:r>
        <w:rPr>
          <w:bCs/>
          <w:iCs/>
          <w:u w:val="single"/>
          <w:lang w:val="en-US"/>
        </w:rPr>
        <w:t>Review of Finance</w:t>
      </w:r>
      <w:r>
        <w:rPr>
          <w:bCs/>
          <w:iCs/>
          <w:lang w:val="en-US"/>
        </w:rPr>
        <w:t xml:space="preserve">, 17 (6), 2035-2096, November 2013. </w:t>
      </w:r>
    </w:p>
    <w:p w:rsidR="00AC3436" w:rsidRPr="00EA5C49" w:rsidRDefault="00E93AE9" w:rsidP="00E93AE9">
      <w:pPr>
        <w:spacing w:line="360" w:lineRule="atLeast"/>
        <w:ind w:left="851" w:hanging="142"/>
        <w:rPr>
          <w:lang w:val="en-US"/>
        </w:rPr>
      </w:pPr>
      <w:r>
        <w:rPr>
          <w:lang w:val="en-GB"/>
        </w:rPr>
        <w:t xml:space="preserve">• </w:t>
      </w:r>
      <w:r>
        <w:rPr>
          <w:i/>
          <w:lang w:val="en-GB"/>
        </w:rPr>
        <w:t>“</w:t>
      </w:r>
      <w:r>
        <w:rPr>
          <w:i/>
          <w:lang w:val="en-US"/>
        </w:rPr>
        <w:t>Bank opacity, intermediation cost and institutional development: Evidence from the Asia-Pacific region"</w:t>
      </w:r>
      <w:r>
        <w:rPr>
          <w:lang w:val="en-US"/>
        </w:rPr>
        <w:t xml:space="preserve">, with </w:t>
      </w:r>
      <w:r>
        <w:rPr>
          <w:bCs/>
          <w:lang w:val="id-ID"/>
        </w:rPr>
        <w:t>W. Soedarmono</w:t>
      </w:r>
      <w:r>
        <w:rPr>
          <w:bCs/>
          <w:lang w:val="en-US"/>
        </w:rPr>
        <w:t xml:space="preserve">, </w:t>
      </w:r>
      <w:r>
        <w:rPr>
          <w:bCs/>
          <w:u w:val="single"/>
          <w:lang w:val="en-US"/>
        </w:rPr>
        <w:t>Journal of Asian Economics</w:t>
      </w:r>
      <w:r>
        <w:rPr>
          <w:bCs/>
          <w:lang w:val="en-US"/>
        </w:rPr>
        <w:t>, 29, 91-100, December 2013.</w:t>
      </w:r>
    </w:p>
    <w:p w:rsidR="00AF7EAA" w:rsidRPr="00D97F8B" w:rsidRDefault="00406FB8" w:rsidP="00406FB8">
      <w:pPr>
        <w:spacing w:line="360" w:lineRule="atLeast"/>
        <w:ind w:left="851" w:hanging="142"/>
        <w:rPr>
          <w:bCs/>
          <w:iCs/>
          <w:lang w:val="en-GB"/>
        </w:rPr>
      </w:pPr>
      <w:r>
        <w:rPr>
          <w:lang w:val="en-GB"/>
        </w:rPr>
        <w:t>• “</w:t>
      </w:r>
      <w:r>
        <w:rPr>
          <w:bCs/>
          <w:i/>
          <w:iCs/>
          <w:lang w:val="en-US"/>
        </w:rPr>
        <w:t xml:space="preserve">Is Bank Income Diversification Beneficial? Evidence from an Emerging Economy", </w:t>
      </w:r>
      <w:r>
        <w:rPr>
          <w:bCs/>
          <w:iCs/>
          <w:lang w:val="en-US"/>
        </w:rPr>
        <w:t xml:space="preserve">with C. Meslier and R. Tacneng, </w:t>
      </w:r>
      <w:r>
        <w:rPr>
          <w:bCs/>
          <w:iCs/>
          <w:u w:val="single"/>
          <w:lang w:val="en-US"/>
        </w:rPr>
        <w:t>Journal of International Financial Markets, Institutions and Money</w:t>
      </w:r>
      <w:r>
        <w:rPr>
          <w:bCs/>
          <w:iCs/>
          <w:lang w:val="en-US"/>
        </w:rPr>
        <w:t xml:space="preserve">, </w:t>
      </w:r>
      <w:r>
        <w:rPr>
          <w:bCs/>
          <w:iCs/>
          <w:lang w:val="en-GB"/>
        </w:rPr>
        <w:t>vol. 31, 97-126, July 2014.</w:t>
      </w:r>
      <w:r>
        <w:rPr>
          <w:bCs/>
          <w:iCs/>
          <w:lang w:val="en-US"/>
        </w:rPr>
        <w:t xml:space="preserve"> </w:t>
      </w:r>
    </w:p>
    <w:p w:rsidR="00CD22ED" w:rsidRPr="00EA5C49" w:rsidRDefault="00CD22ED" w:rsidP="00CD22ED">
      <w:pPr>
        <w:spacing w:line="360" w:lineRule="atLeast"/>
        <w:ind w:left="851" w:hanging="142"/>
        <w:rPr>
          <w:bCs/>
          <w:lang w:val="en-US"/>
        </w:rPr>
      </w:pPr>
      <w:r>
        <w:rPr>
          <w:lang w:val="en-GB"/>
        </w:rPr>
        <w:t>•</w:t>
      </w:r>
      <w:r>
        <w:rPr>
          <w:bCs/>
          <w:i/>
          <w:lang w:val="id-ID"/>
        </w:rPr>
        <w:t xml:space="preserve"> </w:t>
      </w:r>
      <w:r>
        <w:rPr>
          <w:i/>
          <w:iCs/>
          <w:lang w:val="en-GB"/>
        </w:rPr>
        <w:t>"</w:t>
      </w:r>
      <w:r>
        <w:rPr>
          <w:i/>
          <w:iCs/>
          <w:lang w:val="en-US"/>
        </w:rPr>
        <w:t xml:space="preserve"> Why have Bank Interest Margins been so high in Indonesia since the 1997-1998 Financial Crisis? </w:t>
      </w:r>
      <w:r>
        <w:rPr>
          <w:iCs/>
          <w:lang w:val="en-US"/>
        </w:rPr>
        <w:t xml:space="preserve">with I. Trinugroho and A. Agusman, </w:t>
      </w:r>
      <w:r>
        <w:rPr>
          <w:bCs/>
          <w:u w:val="single"/>
          <w:lang w:val="en-US"/>
        </w:rPr>
        <w:t>Research in International Business and Finance</w:t>
      </w:r>
      <w:r>
        <w:rPr>
          <w:bCs/>
          <w:lang w:val="en-US"/>
        </w:rPr>
        <w:t xml:space="preserve">, vol. 32, 139-158, August 2014. </w:t>
      </w:r>
    </w:p>
    <w:p w:rsidR="00C8467F" w:rsidRPr="00EA5C49" w:rsidRDefault="00C8467F" w:rsidP="00C8467F">
      <w:pPr>
        <w:spacing w:line="360" w:lineRule="atLeast"/>
        <w:ind w:left="851" w:hanging="142"/>
        <w:rPr>
          <w:bCs/>
          <w:lang w:val="en-US"/>
        </w:rPr>
      </w:pPr>
      <w:r>
        <w:rPr>
          <w:lang w:val="en-GB"/>
        </w:rPr>
        <w:t>•</w:t>
      </w:r>
      <w:r>
        <w:rPr>
          <w:bCs/>
          <w:i/>
          <w:lang w:val="id-ID"/>
        </w:rPr>
        <w:t xml:space="preserve"> </w:t>
      </w:r>
      <w:r>
        <w:rPr>
          <w:bCs/>
          <w:i/>
          <w:lang w:val="en-US"/>
        </w:rPr>
        <w:t>"</w:t>
      </w:r>
      <w:r>
        <w:rPr>
          <w:i/>
          <w:lang w:val="en-US" w:eastAsia="ar-SA"/>
        </w:rPr>
        <w:t xml:space="preserve"> </w:t>
      </w:r>
      <w:r>
        <w:rPr>
          <w:i/>
          <w:lang w:val="en-US"/>
        </w:rPr>
        <w:t>Excess control rights, bank capital structure adjustment and lending</w:t>
      </w:r>
      <w:r>
        <w:rPr>
          <w:i/>
          <w:lang w:val="en-US" w:eastAsia="ar-SA"/>
        </w:rPr>
        <w:t>",</w:t>
      </w:r>
      <w:r>
        <w:rPr>
          <w:iCs/>
          <w:lang w:val="en-GB"/>
        </w:rPr>
        <w:t xml:space="preserve"> with L. Lepetit and N. Saghi-Zedek, </w:t>
      </w:r>
      <w:r>
        <w:rPr>
          <w:bCs/>
          <w:u w:val="single"/>
          <w:lang w:val="en-US"/>
        </w:rPr>
        <w:t>Journal of Financial Economics</w:t>
      </w:r>
      <w:r>
        <w:rPr>
          <w:bCs/>
          <w:lang w:val="en-US"/>
        </w:rPr>
        <w:t xml:space="preserve">, </w:t>
      </w:r>
      <w:r>
        <w:rPr>
          <w:bCs/>
          <w:lang w:val="en-GB"/>
        </w:rPr>
        <w:t xml:space="preserve">115 (3), 574-591, March </w:t>
      </w:r>
      <w:r>
        <w:rPr>
          <w:bCs/>
          <w:lang w:val="en-US"/>
        </w:rPr>
        <w:t>2015.</w:t>
      </w:r>
    </w:p>
    <w:p w:rsidR="00B06C19" w:rsidRPr="00EA5C49" w:rsidRDefault="00B06C19" w:rsidP="00C8467F">
      <w:pPr>
        <w:spacing w:line="360" w:lineRule="atLeast"/>
        <w:ind w:left="851" w:hanging="142"/>
        <w:rPr>
          <w:bCs/>
          <w:lang w:val="en-US"/>
        </w:rPr>
      </w:pPr>
      <w:r>
        <w:rPr>
          <w:bCs/>
          <w:lang w:val="en-US"/>
        </w:rPr>
        <w:t> </w:t>
      </w:r>
      <w:r>
        <w:rPr>
          <w:lang w:val="en-GB"/>
        </w:rPr>
        <w:t xml:space="preserve">• </w:t>
      </w:r>
      <w:r>
        <w:rPr>
          <w:bCs/>
          <w:i/>
          <w:lang w:val="en-US"/>
        </w:rPr>
        <w:t>"Determinants of cross regional disparity in financial deepening : Evidence from Indonesian provinces"</w:t>
      </w:r>
      <w:r>
        <w:rPr>
          <w:bCs/>
          <w:lang w:val="en-US"/>
        </w:rPr>
        <w:t xml:space="preserve">, with I. Trinugroho, A. Agusman, M. D. Ariefianto, D. Darsono, </w:t>
      </w:r>
      <w:r>
        <w:rPr>
          <w:bCs/>
          <w:u w:val="single"/>
          <w:lang w:val="en-US"/>
        </w:rPr>
        <w:t>Economics Bulletin</w:t>
      </w:r>
      <w:r>
        <w:rPr>
          <w:bCs/>
          <w:lang w:val="en-US"/>
        </w:rPr>
        <w:t>, Vol. 35, Issue 2, pp. 896-910, April 2015.</w:t>
      </w:r>
    </w:p>
    <w:p w:rsidR="00D97F8B" w:rsidRPr="00EA5C49" w:rsidRDefault="00D97F8B" w:rsidP="00C8467F">
      <w:pPr>
        <w:spacing w:line="360" w:lineRule="atLeast"/>
        <w:ind w:left="851" w:hanging="142"/>
        <w:rPr>
          <w:bCs/>
          <w:iCs/>
          <w:lang w:val="en-US"/>
        </w:rPr>
      </w:pPr>
      <w:r>
        <w:rPr>
          <w:bCs/>
          <w:i/>
          <w:iCs/>
          <w:lang w:val="en-GB"/>
        </w:rPr>
        <w:t>• "</w:t>
      </w:r>
      <w:r>
        <w:rPr>
          <w:bCs/>
          <w:i/>
          <w:iCs/>
          <w:lang w:val="en-US"/>
        </w:rPr>
        <w:t xml:space="preserve"> Excess Control Rights, Financial Crisis and Bank Profitability and Risk"</w:t>
      </w:r>
      <w:r>
        <w:rPr>
          <w:bCs/>
          <w:iCs/>
          <w:lang w:val="en-US"/>
        </w:rPr>
        <w:t xml:space="preserve">, with N. Saghi-Zedek, </w:t>
      </w:r>
      <w:r>
        <w:rPr>
          <w:bCs/>
          <w:iCs/>
          <w:u w:val="single"/>
          <w:lang w:val="en-US"/>
        </w:rPr>
        <w:t>Journal of Banking and Finance</w:t>
      </w:r>
      <w:r>
        <w:rPr>
          <w:bCs/>
          <w:iCs/>
          <w:lang w:val="en-US"/>
        </w:rPr>
        <w:t>, vol. 55, 361-379,</w:t>
      </w:r>
      <w:r>
        <w:rPr>
          <w:bCs/>
          <w:iCs/>
          <w:lang w:val="en-GB"/>
        </w:rPr>
        <w:t xml:space="preserve"> </w:t>
      </w:r>
      <w:r>
        <w:rPr>
          <w:bCs/>
          <w:iCs/>
          <w:lang w:val="en-US"/>
        </w:rPr>
        <w:t>June 2015.</w:t>
      </w:r>
    </w:p>
    <w:p w:rsidR="00D6048B" w:rsidRPr="00EA5C49" w:rsidRDefault="00D63AE5" w:rsidP="00D63AE5">
      <w:pPr>
        <w:spacing w:line="360" w:lineRule="atLeast"/>
        <w:ind w:left="851" w:hanging="142"/>
        <w:rPr>
          <w:bCs/>
          <w:iCs/>
          <w:lang w:val="en-US"/>
        </w:rPr>
      </w:pPr>
      <w:r>
        <w:rPr>
          <w:bCs/>
          <w:i/>
          <w:iCs/>
          <w:lang w:val="en-GB"/>
        </w:rPr>
        <w:t>• "</w:t>
      </w:r>
      <w:r>
        <w:rPr>
          <w:bCs/>
          <w:i/>
          <w:iCs/>
          <w:lang w:val="en-US"/>
        </w:rPr>
        <w:t xml:space="preserve"> Political connections, Bank Deposits and Formal Deposit Insurance : Evidence from Indonesia"</w:t>
      </w:r>
      <w:r>
        <w:rPr>
          <w:bCs/>
          <w:iCs/>
          <w:lang w:val="en-US"/>
        </w:rPr>
        <w:t xml:space="preserve"> with E. Nys and I. Trinugroho, </w:t>
      </w:r>
      <w:r>
        <w:rPr>
          <w:bCs/>
          <w:iCs/>
          <w:u w:val="single"/>
          <w:lang w:val="en-US"/>
        </w:rPr>
        <w:t>Journal of Financial Stability</w:t>
      </w:r>
      <w:r>
        <w:rPr>
          <w:bCs/>
          <w:iCs/>
          <w:lang w:val="en-US"/>
        </w:rPr>
        <w:t>, Vol. 19, Pages 83–104, August 2015.</w:t>
      </w:r>
    </w:p>
    <w:p w:rsidR="007122B0" w:rsidRPr="00EA5C49" w:rsidRDefault="007122B0" w:rsidP="00D63AE5">
      <w:pPr>
        <w:spacing w:line="360" w:lineRule="atLeast"/>
        <w:ind w:left="851" w:hanging="142"/>
        <w:rPr>
          <w:bCs/>
          <w:iCs/>
          <w:lang w:val="en-US"/>
        </w:rPr>
      </w:pPr>
      <w:r>
        <w:rPr>
          <w:bCs/>
          <w:i/>
          <w:iCs/>
          <w:lang w:val="en-GB"/>
        </w:rPr>
        <w:t>•</w:t>
      </w:r>
      <w:r>
        <w:rPr>
          <w:bCs/>
          <w:iCs/>
          <w:lang w:val="en-US"/>
        </w:rPr>
        <w:t xml:space="preserve">"New challenges in banking and financial stability across the world", </w:t>
      </w:r>
      <w:r>
        <w:rPr>
          <w:bCs/>
          <w:iCs/>
          <w:u w:val="single"/>
          <w:lang w:val="en-US"/>
        </w:rPr>
        <w:t>Journal of Financial Stability</w:t>
      </w:r>
      <w:r>
        <w:rPr>
          <w:bCs/>
          <w:iCs/>
          <w:lang w:val="en-US"/>
        </w:rPr>
        <w:t>, Vol. 19, Page 69, August 2015.</w:t>
      </w:r>
    </w:p>
    <w:p w:rsidR="00D63AE5" w:rsidRPr="00EA5C49" w:rsidRDefault="00D6048B" w:rsidP="00C8467F">
      <w:pPr>
        <w:spacing w:line="360" w:lineRule="atLeast"/>
        <w:ind w:left="851" w:hanging="142"/>
        <w:rPr>
          <w:bCs/>
          <w:iCs/>
          <w:lang w:val="en-US"/>
        </w:rPr>
      </w:pPr>
      <w:r>
        <w:rPr>
          <w:bCs/>
          <w:iCs/>
          <w:lang w:val="en-GB"/>
        </w:rPr>
        <w:t>•</w:t>
      </w:r>
      <w:r>
        <w:rPr>
          <w:bCs/>
          <w:i/>
          <w:iCs/>
          <w:lang w:val="id-ID"/>
        </w:rPr>
        <w:t xml:space="preserve"> “</w:t>
      </w:r>
      <w:r>
        <w:rPr>
          <w:bCs/>
          <w:i/>
          <w:iCs/>
          <w:lang w:val="en-US"/>
        </w:rPr>
        <w:t>Market structure, financial intermediation and riskiness of banks: Evidence from Asia Pacific"</w:t>
      </w:r>
      <w:r>
        <w:rPr>
          <w:bCs/>
          <w:iCs/>
          <w:lang w:val="en-US"/>
        </w:rPr>
        <w:t xml:space="preserve">, with W. Soedarmono, </w:t>
      </w:r>
      <w:r>
        <w:rPr>
          <w:bCs/>
          <w:iCs/>
          <w:u w:val="single"/>
          <w:lang w:val="en-US"/>
        </w:rPr>
        <w:t>Emerging Markets Finance and Trade</w:t>
      </w:r>
      <w:r>
        <w:rPr>
          <w:bCs/>
          <w:iCs/>
          <w:lang w:val="en-US"/>
        </w:rPr>
        <w:t>, pages 1–14, September 2015.</w:t>
      </w:r>
    </w:p>
    <w:p w:rsidR="00604F47" w:rsidRPr="00EA5C49" w:rsidRDefault="00604F47" w:rsidP="00C8467F">
      <w:pPr>
        <w:spacing w:line="360" w:lineRule="atLeast"/>
        <w:ind w:left="851" w:hanging="142"/>
        <w:rPr>
          <w:bCs/>
          <w:iCs/>
          <w:lang w:val="en-US"/>
        </w:rPr>
      </w:pPr>
      <w:r>
        <w:rPr>
          <w:bCs/>
          <w:iCs/>
          <w:lang w:val="en-GB"/>
        </w:rPr>
        <w:lastRenderedPageBreak/>
        <w:t xml:space="preserve">• </w:t>
      </w:r>
      <w:r>
        <w:rPr>
          <w:bCs/>
          <w:i/>
          <w:iCs/>
          <w:lang w:val="id-ID"/>
        </w:rPr>
        <w:t>“</w:t>
      </w:r>
      <w:r>
        <w:rPr>
          <w:bCs/>
          <w:i/>
          <w:iCs/>
          <w:lang w:val="en-US"/>
        </w:rPr>
        <w:t>Islamic Banking and Finance : Recent Empirical Literature and Directions for Future Research"</w:t>
      </w:r>
      <w:r>
        <w:rPr>
          <w:bCs/>
          <w:iCs/>
          <w:lang w:val="en-US"/>
        </w:rPr>
        <w:t xml:space="preserve">, with P. Abedifar, S. Ebrahim and Phil. Molyneux, </w:t>
      </w:r>
      <w:r>
        <w:rPr>
          <w:bCs/>
          <w:iCs/>
          <w:u w:val="single"/>
          <w:lang w:val="en-US"/>
        </w:rPr>
        <w:t>Journal of Economic Surveys</w:t>
      </w:r>
      <w:r>
        <w:rPr>
          <w:bCs/>
          <w:iCs/>
          <w:lang w:val="en-US"/>
        </w:rPr>
        <w:t>, Volume 29, Issue 4, pages 637–670, September 2015.</w:t>
      </w:r>
    </w:p>
    <w:p w:rsidR="00FF5A56" w:rsidRPr="008208B3" w:rsidRDefault="00FF5A56" w:rsidP="00C8467F">
      <w:pPr>
        <w:spacing w:line="360" w:lineRule="atLeast"/>
        <w:ind w:left="851" w:hanging="142"/>
        <w:rPr>
          <w:bCs/>
          <w:iCs/>
        </w:rPr>
      </w:pPr>
      <w:r>
        <w:rPr>
          <w:bCs/>
          <w:iCs/>
          <w:lang w:val="en-US"/>
        </w:rPr>
        <w:t>• "</w:t>
      </w:r>
      <w:r>
        <w:rPr>
          <w:bCs/>
          <w:i/>
          <w:iCs/>
          <w:lang w:val="en-US"/>
        </w:rPr>
        <w:t xml:space="preserve">Bank capital, self-interested managers and the cost of intermediation: Evidence from Indonesian monthly bank data", with Ph. </w:t>
      </w:r>
      <w:r>
        <w:rPr>
          <w:bCs/>
          <w:i/>
          <w:iCs/>
        </w:rPr>
        <w:t xml:space="preserve">Rous and W. </w:t>
      </w:r>
      <w:r>
        <w:rPr>
          <w:bCs/>
          <w:i/>
          <w:iCs/>
          <w:lang w:val="id-ID"/>
        </w:rPr>
        <w:t>Soedarmono</w:t>
      </w:r>
      <w:r>
        <w:rPr>
          <w:bCs/>
          <w:iCs/>
        </w:rPr>
        <w:t xml:space="preserve">", in </w:t>
      </w:r>
      <w:r>
        <w:rPr>
          <w:bCs/>
          <w:iCs/>
          <w:u w:val="single"/>
        </w:rPr>
        <w:t>Crises et régulation bancaires. Les cheminements de l’instabilité et de la stabilité bancaires,</w:t>
      </w:r>
      <w:r>
        <w:rPr>
          <w:bCs/>
          <w:iCs/>
        </w:rPr>
        <w:t xml:space="preserve"> Editorial coordination by H. Bonin and J.M. Figuet, </w:t>
      </w:r>
      <w:r>
        <w:rPr>
          <w:bCs/>
          <w:iCs/>
          <w:u w:val="single"/>
        </w:rPr>
        <w:t>Droz</w:t>
      </w:r>
      <w:r>
        <w:rPr>
          <w:bCs/>
          <w:iCs/>
        </w:rPr>
        <w:t>, Geneva, December 2015.</w:t>
      </w:r>
    </w:p>
    <w:p w:rsidR="008A3FE9" w:rsidRPr="00EA5C49" w:rsidRDefault="008A3FE9" w:rsidP="000332A7">
      <w:pPr>
        <w:spacing w:line="360" w:lineRule="atLeast"/>
        <w:ind w:left="851" w:hanging="142"/>
        <w:rPr>
          <w:bCs/>
          <w:iCs/>
          <w:lang w:val="en-US"/>
        </w:rPr>
      </w:pPr>
      <w:r>
        <w:rPr>
          <w:bCs/>
          <w:iCs/>
          <w:lang w:val="en-GB"/>
        </w:rPr>
        <w:t>•</w:t>
      </w:r>
      <w:r>
        <w:rPr>
          <w:bCs/>
          <w:i/>
          <w:iCs/>
          <w:lang w:val="id-ID"/>
        </w:rPr>
        <w:t xml:space="preserve"> “</w:t>
      </w:r>
      <w:r>
        <w:rPr>
          <w:bCs/>
          <w:i/>
          <w:iCs/>
          <w:lang w:val="en-US"/>
        </w:rPr>
        <w:t>The benefits and costs of geographic diversification in banking",</w:t>
      </w:r>
      <w:r>
        <w:rPr>
          <w:bCs/>
          <w:iCs/>
          <w:lang w:val="en-US"/>
        </w:rPr>
        <w:t xml:space="preserve"> with C. Meslier, D. Morgan and K. Samolyk, </w:t>
      </w:r>
      <w:r>
        <w:rPr>
          <w:bCs/>
          <w:iCs/>
          <w:u w:val="single"/>
          <w:lang w:val="en-US"/>
        </w:rPr>
        <w:t>Journal of International Money and Finance</w:t>
      </w:r>
      <w:r>
        <w:rPr>
          <w:bCs/>
          <w:iCs/>
          <w:lang w:val="en-US"/>
        </w:rPr>
        <w:t xml:space="preserve">, Vol. 69, pages 287-317, December 2016. </w:t>
      </w:r>
    </w:p>
    <w:p w:rsidR="00595F8B" w:rsidRDefault="005A2C3A" w:rsidP="000332A7">
      <w:pPr>
        <w:spacing w:line="360" w:lineRule="atLeast"/>
        <w:ind w:left="851" w:hanging="142"/>
        <w:rPr>
          <w:bCs/>
          <w:lang w:val="en-GB"/>
        </w:rPr>
      </w:pPr>
      <w:r>
        <w:rPr>
          <w:bCs/>
          <w:lang w:val="en-GB"/>
        </w:rPr>
        <w:t>•</w:t>
      </w:r>
      <w:r>
        <w:rPr>
          <w:bCs/>
          <w:i/>
          <w:lang w:val="id-ID"/>
        </w:rPr>
        <w:t xml:space="preserve"> “</w:t>
      </w:r>
      <w:r>
        <w:rPr>
          <w:bCs/>
          <w:i/>
          <w:lang w:val="en-US"/>
        </w:rPr>
        <w:t>Finance-Growth Nexus and Dual-Banking Systems: Relative Importance of Islamic Banks"</w:t>
      </w:r>
      <w:r>
        <w:rPr>
          <w:bCs/>
          <w:lang w:val="en-US"/>
        </w:rPr>
        <w:t xml:space="preserve">, with P. Abedifar and I. Hasan, </w:t>
      </w:r>
      <w:r>
        <w:rPr>
          <w:bCs/>
          <w:u w:val="single"/>
          <w:lang w:val="en-US"/>
        </w:rPr>
        <w:t>Journal of Economic Behavior and Organization</w:t>
      </w:r>
      <w:r>
        <w:rPr>
          <w:bCs/>
          <w:lang w:val="en-US"/>
        </w:rPr>
        <w:t xml:space="preserve">, </w:t>
      </w:r>
      <w:r>
        <w:rPr>
          <w:bCs/>
          <w:iCs/>
          <w:lang w:val="en-US"/>
        </w:rPr>
        <w:t>v</w:t>
      </w:r>
      <w:r>
        <w:rPr>
          <w:bCs/>
          <w:iCs/>
          <w:lang w:val="de-DE"/>
        </w:rPr>
        <w:t>ol. 132, pages 198–215</w:t>
      </w:r>
      <w:r>
        <w:rPr>
          <w:bCs/>
          <w:iCs/>
          <w:lang w:val="en-US"/>
        </w:rPr>
        <w:t xml:space="preserve">, </w:t>
      </w:r>
      <w:r>
        <w:rPr>
          <w:bCs/>
          <w:iCs/>
          <w:lang w:val="de-DE"/>
        </w:rPr>
        <w:t>December 2016</w:t>
      </w:r>
      <w:r>
        <w:rPr>
          <w:bCs/>
          <w:lang w:val="en-US"/>
        </w:rPr>
        <w:t>.</w:t>
      </w:r>
      <w:r>
        <w:rPr>
          <w:bCs/>
          <w:lang w:val="en-GB"/>
        </w:rPr>
        <w:t xml:space="preserve"> </w:t>
      </w:r>
    </w:p>
    <w:p w:rsidR="00C11B40" w:rsidRPr="00595F8B" w:rsidRDefault="00C11B40" w:rsidP="000332A7">
      <w:pPr>
        <w:spacing w:line="360" w:lineRule="atLeast"/>
        <w:ind w:left="851" w:hanging="142"/>
        <w:rPr>
          <w:bCs/>
          <w:lang w:val="en-GB"/>
        </w:rPr>
      </w:pPr>
      <w:r>
        <w:rPr>
          <w:bCs/>
          <w:lang w:val="en-GB"/>
        </w:rPr>
        <w:t>• "</w:t>
      </w:r>
      <w:r>
        <w:rPr>
          <w:bCs/>
          <w:i/>
          <w:lang w:val="en-US"/>
        </w:rPr>
        <w:t>The procyclicality of loan loss provisions in Islamic banks</w:t>
      </w:r>
      <w:r>
        <w:rPr>
          <w:bCs/>
          <w:lang w:val="en-US"/>
        </w:rPr>
        <w:t xml:space="preserve">", with W. Soedarmono and S. Pramono, </w:t>
      </w:r>
      <w:r>
        <w:rPr>
          <w:bCs/>
          <w:u w:val="single"/>
          <w:lang w:val="en-US"/>
        </w:rPr>
        <w:t>Research in International Business and Finance</w:t>
      </w:r>
      <w:r>
        <w:rPr>
          <w:bCs/>
          <w:lang w:val="en-US"/>
        </w:rPr>
        <w:t>, vol 39, pages 911-919, January 2017.</w:t>
      </w:r>
    </w:p>
    <w:p w:rsidR="00595F8B" w:rsidRPr="00EA5C49" w:rsidRDefault="00595F8B" w:rsidP="000332A7">
      <w:pPr>
        <w:spacing w:line="360" w:lineRule="atLeast"/>
        <w:ind w:left="851" w:hanging="142"/>
        <w:rPr>
          <w:bCs/>
          <w:iCs/>
          <w:lang w:val="en-US"/>
        </w:rPr>
      </w:pPr>
      <w:r>
        <w:rPr>
          <w:bCs/>
          <w:iCs/>
          <w:lang w:val="en-US"/>
        </w:rPr>
        <w:t>• "</w:t>
      </w:r>
      <w:r>
        <w:rPr>
          <w:bCs/>
          <w:i/>
          <w:iCs/>
          <w:lang w:val="en-US"/>
        </w:rPr>
        <w:t>Dual market competition and deposit rate setting in Islamic and conventional banks</w:t>
      </w:r>
      <w:r>
        <w:rPr>
          <w:bCs/>
          <w:iCs/>
          <w:lang w:val="en-US"/>
        </w:rPr>
        <w:t xml:space="preserve">" with C. Meslier and T. Risfandy, </w:t>
      </w:r>
      <w:r>
        <w:rPr>
          <w:bCs/>
          <w:iCs/>
          <w:u w:val="single"/>
          <w:lang w:val="en-US"/>
        </w:rPr>
        <w:t>Economic Modelling</w:t>
      </w:r>
      <w:r>
        <w:rPr>
          <w:bCs/>
          <w:iCs/>
          <w:lang w:val="en-US"/>
        </w:rPr>
        <w:t>, Vol 63, June 2017.</w:t>
      </w:r>
    </w:p>
    <w:p w:rsidR="00595F8B" w:rsidRPr="00EA5C49" w:rsidRDefault="00595F8B" w:rsidP="000332A7">
      <w:pPr>
        <w:spacing w:line="360" w:lineRule="atLeast"/>
        <w:ind w:left="851" w:hanging="142"/>
        <w:rPr>
          <w:bCs/>
          <w:lang w:val="en-US"/>
        </w:rPr>
      </w:pPr>
      <w:r>
        <w:rPr>
          <w:bCs/>
          <w:lang w:val="en-US"/>
        </w:rPr>
        <w:t xml:space="preserve"> </w:t>
      </w:r>
      <w:r>
        <w:rPr>
          <w:bCs/>
          <w:iCs/>
          <w:lang w:val="en-US"/>
        </w:rPr>
        <w:t xml:space="preserve">• </w:t>
      </w:r>
      <w:r>
        <w:rPr>
          <w:bCs/>
          <w:lang w:val="en-US"/>
        </w:rPr>
        <w:t>"</w:t>
      </w:r>
      <w:r>
        <w:rPr>
          <w:bCs/>
          <w:i/>
          <w:lang w:val="en-US"/>
        </w:rPr>
        <w:t>Abnormal loan growth, credit information sharing and systemic risk in Asian banks</w:t>
      </w:r>
      <w:r>
        <w:rPr>
          <w:bCs/>
          <w:lang w:val="en-US"/>
        </w:rPr>
        <w:t xml:space="preserve">" with W. Soedarmono and D. Sitorus, </w:t>
      </w:r>
      <w:r>
        <w:rPr>
          <w:bCs/>
          <w:u w:val="single"/>
          <w:lang w:val="en-US"/>
        </w:rPr>
        <w:t>Research in International Business and Finance</w:t>
      </w:r>
      <w:r>
        <w:rPr>
          <w:bCs/>
          <w:lang w:val="en-US"/>
        </w:rPr>
        <w:t>, Vol. 42, pages 1208-1218, December 2017.</w:t>
      </w:r>
    </w:p>
    <w:p w:rsidR="008C55D9" w:rsidRPr="00EA5C49" w:rsidRDefault="00ED3DC1" w:rsidP="000332A7">
      <w:pPr>
        <w:spacing w:line="360" w:lineRule="atLeast"/>
        <w:ind w:left="851" w:hanging="142"/>
        <w:rPr>
          <w:bCs/>
          <w:iCs/>
          <w:lang w:val="en-US"/>
        </w:rPr>
      </w:pPr>
      <w:r>
        <w:rPr>
          <w:bCs/>
          <w:iCs/>
          <w:lang w:val="en-US"/>
        </w:rPr>
        <w:t>• "</w:t>
      </w:r>
      <w:r>
        <w:rPr>
          <w:bCs/>
          <w:i/>
          <w:iCs/>
          <w:lang w:val="en-US"/>
        </w:rPr>
        <w:t>Local versus International Crises and Bank Stability : does bank foreign expansion make a difference</w:t>
      </w:r>
      <w:r>
        <w:rPr>
          <w:bCs/>
          <w:iCs/>
          <w:lang w:val="en-US"/>
        </w:rPr>
        <w:t xml:space="preserve"> ?" with T. AlRaheb, </w:t>
      </w:r>
      <w:r>
        <w:rPr>
          <w:bCs/>
          <w:iCs/>
          <w:u w:val="single"/>
          <w:lang w:val="en-US"/>
        </w:rPr>
        <w:t>Applied Economics</w:t>
      </w:r>
      <w:r>
        <w:rPr>
          <w:bCs/>
          <w:iCs/>
          <w:lang w:val="en-US"/>
        </w:rPr>
        <w:t>, vol. 50(10), 1138-1155, 2018.</w:t>
      </w:r>
    </w:p>
    <w:p w:rsidR="00022B3F" w:rsidRDefault="00FF5A56" w:rsidP="00022B3F">
      <w:pPr>
        <w:spacing w:line="360" w:lineRule="atLeast"/>
        <w:ind w:left="851" w:hanging="142"/>
        <w:rPr>
          <w:bCs/>
          <w:iCs/>
          <w:lang w:val="en-GB"/>
        </w:rPr>
      </w:pPr>
      <w:r>
        <w:rPr>
          <w:bCs/>
          <w:iCs/>
          <w:lang w:val="en-US"/>
        </w:rPr>
        <w:t>• "</w:t>
      </w:r>
      <w:r>
        <w:rPr>
          <w:bCs/>
          <w:i/>
          <w:iCs/>
          <w:lang w:val="en-US"/>
        </w:rPr>
        <w:t>Does diversity of bank board members affect performance and risk ? Evidence from an emerging market</w:t>
      </w:r>
      <w:r>
        <w:rPr>
          <w:bCs/>
          <w:iCs/>
          <w:lang w:val="en-US"/>
        </w:rPr>
        <w:t xml:space="preserve">" with B. Setiyono, in </w:t>
      </w:r>
      <w:r>
        <w:rPr>
          <w:bCs/>
          <w:iCs/>
          <w:u w:val="single"/>
          <w:lang w:val="en-US"/>
        </w:rPr>
        <w:t>Corporate Governance in Banking and Investor Protection</w:t>
      </w:r>
      <w:r>
        <w:rPr>
          <w:bCs/>
          <w:iCs/>
          <w:lang w:val="en-US"/>
        </w:rPr>
        <w:t> : From Theory to Practice. Editors : Díaz Díaz, Belén, Idowu, Samuel O., Molyneux, Philip, Springer, January 2018.</w:t>
      </w:r>
      <w:r>
        <w:rPr>
          <w:bCs/>
          <w:iCs/>
          <w:lang w:val="en-GB"/>
        </w:rPr>
        <w:t xml:space="preserve"> </w:t>
      </w:r>
    </w:p>
    <w:p w:rsidR="00571E90" w:rsidRPr="00EA5C49" w:rsidRDefault="00571E90" w:rsidP="00022B3F">
      <w:pPr>
        <w:spacing w:line="360" w:lineRule="atLeast"/>
        <w:ind w:left="851" w:hanging="142"/>
        <w:rPr>
          <w:bCs/>
          <w:iCs/>
          <w:lang w:val="en-US"/>
        </w:rPr>
      </w:pPr>
      <w:r>
        <w:rPr>
          <w:bCs/>
          <w:iCs/>
          <w:lang w:val="en-US"/>
        </w:rPr>
        <w:t xml:space="preserve">• </w:t>
      </w:r>
      <w:r>
        <w:rPr>
          <w:bCs/>
          <w:i/>
          <w:iCs/>
          <w:lang w:val="en-US"/>
        </w:rPr>
        <w:t>"Does it pay to get connected? An examination of bank alliance network and bond spread"</w:t>
      </w:r>
      <w:r>
        <w:rPr>
          <w:bCs/>
          <w:iCs/>
          <w:lang w:val="en-US"/>
        </w:rPr>
        <w:t xml:space="preserve">, with I. Hasan, C. Meslier and M. Zhou, </w:t>
      </w:r>
      <w:r>
        <w:rPr>
          <w:bCs/>
          <w:iCs/>
          <w:u w:val="single"/>
          <w:lang w:val="en-US"/>
        </w:rPr>
        <w:t>Journal of Economics and Business</w:t>
      </w:r>
      <w:r>
        <w:rPr>
          <w:bCs/>
          <w:iCs/>
          <w:lang w:val="en-US"/>
        </w:rPr>
        <w:t xml:space="preserve">, vol. 95, 141-163, January-February 2018. </w:t>
      </w:r>
    </w:p>
    <w:p w:rsidR="00FF5A56" w:rsidRPr="00EA5C49" w:rsidRDefault="0014621B" w:rsidP="00B917F1">
      <w:pPr>
        <w:spacing w:line="360" w:lineRule="atLeast"/>
        <w:ind w:left="851" w:hanging="142"/>
        <w:rPr>
          <w:bCs/>
          <w:iCs/>
          <w:lang w:val="en-US"/>
        </w:rPr>
      </w:pPr>
      <w:r>
        <w:rPr>
          <w:bCs/>
          <w:iCs/>
          <w:lang w:val="en-GB"/>
        </w:rPr>
        <w:t>•</w:t>
      </w:r>
      <w:r>
        <w:rPr>
          <w:bCs/>
          <w:i/>
          <w:iCs/>
          <w:lang w:val="id-ID"/>
        </w:rPr>
        <w:t xml:space="preserve"> “</w:t>
      </w:r>
      <w:r>
        <w:rPr>
          <w:bCs/>
          <w:i/>
          <w:iCs/>
          <w:lang w:val="en-US"/>
        </w:rPr>
        <w:t>Non-interest income and bank lending",</w:t>
      </w:r>
      <w:r>
        <w:rPr>
          <w:bCs/>
          <w:iCs/>
          <w:lang w:val="en-US"/>
        </w:rPr>
        <w:t xml:space="preserve"> with P. Abedifar and Phil. Molyneux, </w:t>
      </w:r>
      <w:r>
        <w:rPr>
          <w:bCs/>
          <w:iCs/>
          <w:u w:val="single"/>
          <w:lang w:val="en-US"/>
        </w:rPr>
        <w:t>Journal of Banking and Finance</w:t>
      </w:r>
      <w:r>
        <w:rPr>
          <w:bCs/>
          <w:iCs/>
          <w:lang w:val="en-US"/>
        </w:rPr>
        <w:t>, vol. 87, 411-426, February 2018.</w:t>
      </w:r>
    </w:p>
    <w:p w:rsidR="00022B3F" w:rsidRPr="00EA5C49" w:rsidRDefault="00022B3F" w:rsidP="000332A7">
      <w:pPr>
        <w:spacing w:line="360" w:lineRule="atLeast"/>
        <w:ind w:left="851" w:hanging="142"/>
        <w:rPr>
          <w:bCs/>
          <w:iCs/>
          <w:lang w:val="en-US"/>
        </w:rPr>
      </w:pPr>
      <w:r>
        <w:rPr>
          <w:bCs/>
          <w:iCs/>
          <w:lang w:val="en-US"/>
        </w:rPr>
        <w:t>• "</w:t>
      </w:r>
      <w:r>
        <w:rPr>
          <w:bCs/>
          <w:i/>
          <w:iCs/>
          <w:lang w:val="en-US"/>
        </w:rPr>
        <w:t>The Joint Regulation of Bank Liquidity and Bank Capital</w:t>
      </w:r>
      <w:r>
        <w:rPr>
          <w:bCs/>
          <w:iCs/>
          <w:lang w:val="en-US"/>
        </w:rPr>
        <w:t xml:space="preserve">", with R. DeYoung and I. Distinguin, </w:t>
      </w:r>
      <w:r>
        <w:rPr>
          <w:bCs/>
          <w:iCs/>
          <w:u w:val="single"/>
          <w:lang w:val="en-US"/>
        </w:rPr>
        <w:t>Journal of Financial Intermediation</w:t>
      </w:r>
      <w:r>
        <w:rPr>
          <w:bCs/>
          <w:iCs/>
          <w:lang w:val="en-US"/>
        </w:rPr>
        <w:t xml:space="preserve">, Vol.34, Pages 32-46, April 2018. </w:t>
      </w:r>
    </w:p>
    <w:p w:rsidR="00B917F1" w:rsidRPr="00EA5C49" w:rsidRDefault="00B917F1" w:rsidP="000332A7">
      <w:pPr>
        <w:spacing w:line="360" w:lineRule="atLeast"/>
        <w:ind w:left="851" w:hanging="142"/>
        <w:rPr>
          <w:bCs/>
          <w:iCs/>
          <w:lang w:val="en-US"/>
        </w:rPr>
      </w:pPr>
      <w:r>
        <w:rPr>
          <w:bCs/>
          <w:iCs/>
          <w:lang w:val="en-GB"/>
        </w:rPr>
        <w:t xml:space="preserve">• </w:t>
      </w:r>
      <w:r>
        <w:rPr>
          <w:bCs/>
          <w:i/>
          <w:iCs/>
          <w:lang w:val="en-US"/>
        </w:rPr>
        <w:t>"Does Market Discipline Impact Bank Charter Value? The Case for Australia and Canada"</w:t>
      </w:r>
      <w:r>
        <w:rPr>
          <w:bCs/>
          <w:iCs/>
          <w:lang w:val="en-US"/>
        </w:rPr>
        <w:t xml:space="preserve">, with M. Haq and N. Avkiran, </w:t>
      </w:r>
      <w:r>
        <w:rPr>
          <w:bCs/>
          <w:iCs/>
          <w:u w:val="single"/>
          <w:lang w:val="en-US"/>
        </w:rPr>
        <w:t>Accounting and Finance</w:t>
      </w:r>
      <w:r>
        <w:rPr>
          <w:bCs/>
          <w:iCs/>
          <w:lang w:val="en-US"/>
        </w:rPr>
        <w:t>, Vol. 59(1), 253-276, March 2019.</w:t>
      </w:r>
    </w:p>
    <w:p w:rsidR="00486BA1" w:rsidRPr="00EA5C49" w:rsidRDefault="00486BA1" w:rsidP="000332A7">
      <w:pPr>
        <w:spacing w:line="360" w:lineRule="atLeast"/>
        <w:ind w:left="851" w:hanging="142"/>
        <w:rPr>
          <w:bCs/>
          <w:iCs/>
          <w:lang w:val="en-US"/>
        </w:rPr>
      </w:pPr>
      <w:r>
        <w:rPr>
          <w:bCs/>
          <w:iCs/>
          <w:lang w:val="en-US"/>
        </w:rPr>
        <w:t>• "</w:t>
      </w:r>
      <w:r>
        <w:rPr>
          <w:bCs/>
          <w:i/>
          <w:iCs/>
          <w:lang w:val="en-US"/>
        </w:rPr>
        <w:t>Falling under the control of a different type of owner : risk-taking implications for banks",</w:t>
      </w:r>
      <w:r>
        <w:rPr>
          <w:bCs/>
          <w:iCs/>
          <w:lang w:val="en-US"/>
        </w:rPr>
        <w:t xml:space="preserve"> with T. Barry and P. Wachtel, </w:t>
      </w:r>
      <w:r>
        <w:rPr>
          <w:bCs/>
          <w:iCs/>
          <w:u w:val="single"/>
          <w:lang w:val="en-US"/>
        </w:rPr>
        <w:t>Applied Economics</w:t>
      </w:r>
      <w:r>
        <w:rPr>
          <w:bCs/>
          <w:iCs/>
          <w:lang w:val="en-US"/>
        </w:rPr>
        <w:t>, Vol. 51(8), 831-847, 2019.</w:t>
      </w:r>
    </w:p>
    <w:p w:rsidR="00757614" w:rsidRPr="00EA5C49" w:rsidRDefault="00364A91" w:rsidP="008940D3">
      <w:pPr>
        <w:spacing w:line="360" w:lineRule="atLeast"/>
        <w:ind w:left="851" w:hanging="142"/>
        <w:rPr>
          <w:bCs/>
          <w:iCs/>
          <w:lang w:val="en-US"/>
        </w:rPr>
      </w:pPr>
      <w:r>
        <w:rPr>
          <w:bCs/>
          <w:iCs/>
          <w:lang w:val="en-US"/>
        </w:rPr>
        <w:lastRenderedPageBreak/>
        <w:t>• "</w:t>
      </w:r>
      <w:r>
        <w:rPr>
          <w:bCs/>
          <w:i/>
          <w:iCs/>
          <w:lang w:val="en-US"/>
        </w:rPr>
        <w:t>Creditor rights and bank capital decisions: Conventional vs. Islamic banking</w:t>
      </w:r>
      <w:r>
        <w:rPr>
          <w:bCs/>
          <w:iCs/>
          <w:lang w:val="en-US"/>
        </w:rPr>
        <w:t xml:space="preserve">", with M. Bitar, </w:t>
      </w:r>
      <w:r>
        <w:rPr>
          <w:bCs/>
          <w:iCs/>
          <w:u w:val="single"/>
          <w:lang w:val="en-US"/>
        </w:rPr>
        <w:t>Journal of Corporate Finance</w:t>
      </w:r>
      <w:r>
        <w:rPr>
          <w:bCs/>
          <w:iCs/>
          <w:lang w:val="en-US"/>
        </w:rPr>
        <w:t>, Vol. 55, 69-104, April 2019.</w:t>
      </w:r>
    </w:p>
    <w:p w:rsidR="00355E76" w:rsidRPr="00355E76" w:rsidRDefault="00355E76" w:rsidP="00355E76">
      <w:pPr>
        <w:spacing w:line="360" w:lineRule="atLeast"/>
        <w:ind w:left="709"/>
        <w:rPr>
          <w:bCs/>
          <w:iCs/>
          <w:lang w:val="en-US"/>
        </w:rPr>
      </w:pPr>
      <w:r>
        <w:rPr>
          <w:bCs/>
          <w:iCs/>
          <w:lang w:val="en-GB"/>
        </w:rPr>
        <w:t xml:space="preserve">• </w:t>
      </w:r>
      <w:r>
        <w:rPr>
          <w:bCs/>
          <w:iCs/>
          <w:lang w:val="en-US"/>
        </w:rPr>
        <w:t>"</w:t>
      </w:r>
      <w:r>
        <w:rPr>
          <w:bCs/>
          <w:i/>
          <w:iCs/>
          <w:lang w:val="en-US"/>
        </w:rPr>
        <w:t>Institutional Environment and Bank Capital Ratios</w:t>
      </w:r>
      <w:r>
        <w:rPr>
          <w:bCs/>
          <w:iCs/>
          <w:lang w:val="en-US"/>
        </w:rPr>
        <w:t xml:space="preserve">", With T. Al-Raheb and Nicolas C., </w:t>
      </w:r>
      <w:r>
        <w:rPr>
          <w:bCs/>
          <w:iCs/>
          <w:u w:val="single"/>
          <w:lang w:val="en-US"/>
        </w:rPr>
        <w:t>Journal of Financial Stability</w:t>
      </w:r>
      <w:r>
        <w:rPr>
          <w:bCs/>
          <w:iCs/>
          <w:lang w:val="en-US"/>
        </w:rPr>
        <w:t>, Vol. 43, 1-24, August 2019.</w:t>
      </w:r>
    </w:p>
    <w:p w:rsidR="0089062F" w:rsidRPr="008940D3" w:rsidRDefault="0089062F" w:rsidP="00805924">
      <w:pPr>
        <w:spacing w:line="360" w:lineRule="atLeast"/>
        <w:ind w:left="709"/>
        <w:rPr>
          <w:lang w:val="en-US"/>
        </w:rPr>
      </w:pPr>
      <w:r>
        <w:rPr>
          <w:bCs/>
          <w:iCs/>
          <w:lang w:val="en-GB"/>
        </w:rPr>
        <w:t xml:space="preserve">• </w:t>
      </w:r>
      <w:r>
        <w:rPr>
          <w:bCs/>
          <w:i/>
          <w:iCs/>
          <w:lang w:val="en-US"/>
        </w:rPr>
        <w:t>“Bank consolidation and financial stability in Indonesia”</w:t>
      </w:r>
      <w:r>
        <w:rPr>
          <w:bCs/>
          <w:iCs/>
          <w:lang w:val="en-US"/>
        </w:rPr>
        <w:t xml:space="preserve">, with </w:t>
      </w:r>
      <w:r>
        <w:rPr>
          <w:lang w:val="en-US"/>
        </w:rPr>
        <w:t>W. Soedarmono</w:t>
      </w:r>
      <w:r>
        <w:rPr>
          <w:lang w:val="en-US"/>
        </w:rPr>
        <w:br/>
        <w:t xml:space="preserve">and I.  Yusgiantoro, </w:t>
      </w:r>
      <w:r>
        <w:rPr>
          <w:u w:val="single"/>
          <w:lang w:val="en-US"/>
        </w:rPr>
        <w:t>International Economics</w:t>
      </w:r>
      <w:r>
        <w:rPr>
          <w:lang w:val="en-US"/>
        </w:rPr>
        <w:t xml:space="preserve">, Vol.159, 94-104, October 2019. </w:t>
      </w:r>
    </w:p>
    <w:p w:rsidR="008940D3" w:rsidRDefault="008940D3" w:rsidP="00805924">
      <w:pPr>
        <w:spacing w:line="360" w:lineRule="atLeast"/>
        <w:ind w:left="709"/>
        <w:rPr>
          <w:bCs/>
          <w:iCs/>
          <w:lang w:val="en-US"/>
        </w:rPr>
      </w:pPr>
      <w:r>
        <w:rPr>
          <w:bCs/>
          <w:iCs/>
          <w:lang w:val="en-US"/>
        </w:rPr>
        <w:t>• "</w:t>
      </w:r>
      <w:r>
        <w:rPr>
          <w:bCs/>
          <w:i/>
          <w:iCs/>
          <w:lang w:val="en-US"/>
        </w:rPr>
        <w:t>Charter Value, risk-taking and systemic risk in banking before and after the global financial crisis of 2007-2008</w:t>
      </w:r>
      <w:r>
        <w:rPr>
          <w:bCs/>
          <w:iCs/>
          <w:lang w:val="en-US"/>
        </w:rPr>
        <w:t xml:space="preserve">", with Y. Bakkar and C. Rugemintwari, </w:t>
      </w:r>
      <w:r>
        <w:rPr>
          <w:bCs/>
          <w:iCs/>
          <w:u w:val="single"/>
          <w:lang w:val="en-US"/>
        </w:rPr>
        <w:t>Applied Economics</w:t>
      </w:r>
      <w:r>
        <w:rPr>
          <w:bCs/>
          <w:iCs/>
          <w:lang w:val="en-US"/>
        </w:rPr>
        <w:t>, Vol. 52(36), 3898-3918, 2020.</w:t>
      </w:r>
    </w:p>
    <w:p w:rsidR="004B0BEC" w:rsidRDefault="00CD4D03" w:rsidP="00CD4D03">
      <w:pPr>
        <w:spacing w:line="360" w:lineRule="atLeast"/>
        <w:ind w:left="709"/>
        <w:rPr>
          <w:bCs/>
          <w:iCs/>
          <w:lang w:val="en-US"/>
        </w:rPr>
      </w:pPr>
      <w:r>
        <w:rPr>
          <w:bCs/>
          <w:i/>
          <w:iCs/>
          <w:lang w:val="en-US"/>
        </w:rPr>
        <w:t>• “Linking bank competition, financial stability, and economic growth”</w:t>
      </w:r>
      <w:r>
        <w:rPr>
          <w:bCs/>
          <w:iCs/>
          <w:lang w:val="en-US"/>
        </w:rPr>
        <w:t xml:space="preserve">, with </w:t>
      </w:r>
      <w:r>
        <w:rPr>
          <w:bCs/>
          <w:iCs/>
          <w:u w:val="single"/>
          <w:lang w:val="en-US"/>
        </w:rPr>
        <w:t>Journal of Business Economics and Management</w:t>
      </w:r>
      <w:r>
        <w:rPr>
          <w:bCs/>
          <w:iCs/>
          <w:lang w:val="en-US"/>
        </w:rPr>
        <w:t>, with S. Ijaz, A. Hassan and A. Fraz, vol. 21(1), 200-221, 2020.</w:t>
      </w:r>
    </w:p>
    <w:p w:rsidR="00CD4D03" w:rsidRDefault="004B0BEC" w:rsidP="004B0BEC">
      <w:pPr>
        <w:spacing w:line="360" w:lineRule="atLeast"/>
        <w:ind w:left="709"/>
        <w:rPr>
          <w:bCs/>
          <w:iCs/>
          <w:lang w:val="en-US"/>
        </w:rPr>
      </w:pPr>
      <w:r>
        <w:rPr>
          <w:bCs/>
          <w:iCs/>
          <w:lang w:val="en-GB"/>
        </w:rPr>
        <w:t xml:space="preserve">• </w:t>
      </w:r>
      <w:r>
        <w:rPr>
          <w:bCs/>
          <w:iCs/>
          <w:lang w:val="en-US"/>
        </w:rPr>
        <w:t>"</w:t>
      </w:r>
      <w:r>
        <w:rPr>
          <w:bCs/>
          <w:i/>
          <w:iCs/>
          <w:lang w:val="en-US"/>
        </w:rPr>
        <w:t>Deposit Structure, Market Discipline, and Ownership Type: Evidence from Indonesia</w:t>
      </w:r>
      <w:r>
        <w:rPr>
          <w:bCs/>
          <w:iCs/>
          <w:lang w:val="en-US"/>
        </w:rPr>
        <w:t xml:space="preserve">", with I. Trinugroho, A.D. Ariefianto and P. Pamungkas, </w:t>
      </w:r>
      <w:r>
        <w:rPr>
          <w:bCs/>
          <w:iCs/>
          <w:u w:val="single"/>
          <w:lang w:val="en-US"/>
        </w:rPr>
        <w:t>Economic Systems</w:t>
      </w:r>
      <w:r>
        <w:rPr>
          <w:bCs/>
          <w:iCs/>
          <w:lang w:val="en-US"/>
        </w:rPr>
        <w:t xml:space="preserve">, vol.44(2), June 2020. </w:t>
      </w:r>
    </w:p>
    <w:p w:rsidR="00066B83" w:rsidRDefault="001E5E0D" w:rsidP="00805924">
      <w:pPr>
        <w:spacing w:line="360" w:lineRule="atLeast"/>
        <w:ind w:left="709"/>
        <w:rPr>
          <w:bCs/>
          <w:iCs/>
          <w:lang w:val="en-US"/>
        </w:rPr>
      </w:pPr>
      <w:r>
        <w:rPr>
          <w:bCs/>
          <w:iCs/>
          <w:lang w:val="en-GB"/>
        </w:rPr>
        <w:t xml:space="preserve">• </w:t>
      </w:r>
      <w:r>
        <w:rPr>
          <w:bCs/>
          <w:i/>
          <w:iCs/>
          <w:lang w:val="en-GB"/>
        </w:rPr>
        <w:t>“</w:t>
      </w:r>
      <w:r>
        <w:rPr>
          <w:bCs/>
          <w:i/>
          <w:iCs/>
          <w:lang w:val="en-US"/>
        </w:rPr>
        <w:t>Do banks change their liquidity ratios based on network characteristics?</w:t>
      </w:r>
      <w:r>
        <w:rPr>
          <w:bCs/>
          <w:iCs/>
          <w:lang w:val="en-US"/>
        </w:rPr>
        <w:t xml:space="preserve">”, with I. Distinguin and A. Mahdavi-Ardekani, </w:t>
      </w:r>
      <w:r>
        <w:rPr>
          <w:bCs/>
          <w:iCs/>
          <w:u w:val="single"/>
          <w:lang w:val="en-US"/>
        </w:rPr>
        <w:t>European Journal of Operational Research</w:t>
      </w:r>
      <w:r>
        <w:rPr>
          <w:bCs/>
          <w:iCs/>
          <w:lang w:val="en-US"/>
        </w:rPr>
        <w:t>, Vol. 285(2), 789-803 September 2020.</w:t>
      </w:r>
    </w:p>
    <w:p w:rsidR="004B0BEC" w:rsidRDefault="004B0BEC" w:rsidP="004B0BEC">
      <w:pPr>
        <w:spacing w:line="360" w:lineRule="atLeast"/>
        <w:ind w:left="709"/>
        <w:rPr>
          <w:bCs/>
          <w:iCs/>
          <w:lang w:val="en-US"/>
        </w:rPr>
      </w:pPr>
      <w:r>
        <w:rPr>
          <w:bCs/>
          <w:iCs/>
          <w:lang w:val="en-GB"/>
        </w:rPr>
        <w:t xml:space="preserve">• </w:t>
      </w:r>
      <w:r>
        <w:rPr>
          <w:bCs/>
          <w:i/>
          <w:iCs/>
          <w:lang w:val="en-GB"/>
        </w:rPr>
        <w:t>“</w:t>
      </w:r>
      <w:r>
        <w:rPr>
          <w:bCs/>
          <w:i/>
          <w:iCs/>
          <w:lang w:val="en-US"/>
        </w:rPr>
        <w:t>Islamic banks’ equity financing, Shariah supervisory board, and banking environments”</w:t>
      </w:r>
      <w:r>
        <w:rPr>
          <w:bCs/>
          <w:iCs/>
          <w:lang w:val="en-US"/>
        </w:rPr>
        <w:t xml:space="preserve">, with C. Meslier and A. Risfandy, </w:t>
      </w:r>
      <w:r>
        <w:rPr>
          <w:bCs/>
          <w:iCs/>
          <w:u w:val="single"/>
          <w:lang w:val="en-US"/>
        </w:rPr>
        <w:t>Pacific-Basin Finance Journal</w:t>
      </w:r>
      <w:r>
        <w:rPr>
          <w:bCs/>
          <w:iCs/>
          <w:lang w:val="en-US"/>
        </w:rPr>
        <w:t>, vol. 62, September 2020.</w:t>
      </w:r>
    </w:p>
    <w:p w:rsidR="00FB5B14" w:rsidRDefault="00666C2A" w:rsidP="00FB5B14">
      <w:pPr>
        <w:spacing w:line="360" w:lineRule="atLeast"/>
        <w:ind w:left="709"/>
        <w:rPr>
          <w:bCs/>
          <w:iCs/>
          <w:lang w:val="en-US"/>
        </w:rPr>
      </w:pPr>
      <w:r>
        <w:rPr>
          <w:bCs/>
          <w:iCs/>
          <w:lang w:val="en-GB"/>
        </w:rPr>
        <w:t xml:space="preserve">• </w:t>
      </w:r>
      <w:r>
        <w:rPr>
          <w:bCs/>
          <w:iCs/>
          <w:lang w:val="en-US"/>
        </w:rPr>
        <w:t>"</w:t>
      </w:r>
      <w:r>
        <w:rPr>
          <w:bCs/>
          <w:i/>
          <w:iCs/>
          <w:lang w:val="en-US"/>
        </w:rPr>
        <w:t>Credit information sharing in the nexus between charter value and systemic risk in Asian banking</w:t>
      </w:r>
      <w:r>
        <w:rPr>
          <w:bCs/>
          <w:iCs/>
          <w:lang w:val="en-US"/>
        </w:rPr>
        <w:t xml:space="preserve">", with W. Soedarmono and T. Rusmanto, </w:t>
      </w:r>
      <w:r>
        <w:rPr>
          <w:bCs/>
          <w:iCs/>
          <w:u w:val="single"/>
          <w:lang w:val="en-US"/>
        </w:rPr>
        <w:t>Research in International Business and Finance</w:t>
      </w:r>
      <w:r>
        <w:rPr>
          <w:bCs/>
          <w:iCs/>
          <w:lang w:val="en-US"/>
        </w:rPr>
        <w:t>, Vol. 53, October 2020.</w:t>
      </w:r>
    </w:p>
    <w:p w:rsidR="00B22FBC" w:rsidRDefault="00FB4DB4" w:rsidP="00AA242C">
      <w:pPr>
        <w:spacing w:line="360" w:lineRule="atLeast"/>
        <w:ind w:left="709"/>
        <w:rPr>
          <w:bCs/>
          <w:iCs/>
          <w:lang w:val="en-US"/>
        </w:rPr>
      </w:pPr>
      <w:r>
        <w:rPr>
          <w:bCs/>
          <w:iCs/>
          <w:lang w:val="en-GB"/>
        </w:rPr>
        <w:t xml:space="preserve">• </w:t>
      </w:r>
      <w:r>
        <w:rPr>
          <w:bCs/>
          <w:i/>
          <w:iCs/>
          <w:lang w:val="en-US"/>
        </w:rPr>
        <w:t>"Financial Inclusion and Bank Stability: Evidence from Europe"</w:t>
      </w:r>
      <w:r>
        <w:rPr>
          <w:bCs/>
          <w:iCs/>
          <w:lang w:val="en-US"/>
        </w:rPr>
        <w:t xml:space="preserve">, with G. Ozturk Danisman, </w:t>
      </w:r>
      <w:r>
        <w:rPr>
          <w:bCs/>
          <w:iCs/>
          <w:u w:val="single"/>
          <w:lang w:val="en-US"/>
        </w:rPr>
        <w:t>European Journal of Finance</w:t>
      </w:r>
      <w:r>
        <w:rPr>
          <w:bCs/>
          <w:iCs/>
          <w:lang w:val="en-US"/>
        </w:rPr>
        <w:t xml:space="preserve">, Vol. 26(18), 1842–1855, 2020. </w:t>
      </w:r>
    </w:p>
    <w:p w:rsidR="00DE5106" w:rsidRPr="00066B83" w:rsidRDefault="00DE5106" w:rsidP="00DE5106">
      <w:pPr>
        <w:spacing w:line="360" w:lineRule="atLeast"/>
        <w:ind w:left="851" w:hanging="142"/>
        <w:rPr>
          <w:bCs/>
          <w:iCs/>
          <w:lang w:val="en-US"/>
        </w:rPr>
      </w:pPr>
      <w:r>
        <w:rPr>
          <w:bCs/>
          <w:iCs/>
          <w:lang w:val="en-GB"/>
        </w:rPr>
        <w:t xml:space="preserve">• </w:t>
      </w:r>
      <w:r>
        <w:rPr>
          <w:bCs/>
          <w:i/>
          <w:iCs/>
          <w:lang w:val="en-US"/>
        </w:rPr>
        <w:t>"Bank credit in uncertain times : Islamic vs. conventional banks"</w:t>
      </w:r>
      <w:r>
        <w:rPr>
          <w:bCs/>
          <w:iCs/>
          <w:lang w:val="en-US"/>
        </w:rPr>
        <w:t xml:space="preserve">, with M. H. Bilgin, E. Demir, and G. Ozturk Danisman, </w:t>
      </w:r>
      <w:r>
        <w:rPr>
          <w:bCs/>
          <w:iCs/>
          <w:u w:val="single"/>
          <w:lang w:val="en-US"/>
        </w:rPr>
        <w:t>Finance Research Letters</w:t>
      </w:r>
      <w:r>
        <w:rPr>
          <w:bCs/>
          <w:iCs/>
          <w:lang w:val="en-US"/>
        </w:rPr>
        <w:t>, 39, March 2021.</w:t>
      </w:r>
    </w:p>
    <w:p w:rsidR="0011561C" w:rsidRDefault="0011561C" w:rsidP="0011561C">
      <w:pPr>
        <w:spacing w:line="360" w:lineRule="atLeast"/>
        <w:ind w:left="709"/>
        <w:rPr>
          <w:bCs/>
          <w:iCs/>
          <w:lang w:val="en-GB"/>
        </w:rPr>
      </w:pPr>
      <w:r>
        <w:rPr>
          <w:bCs/>
          <w:iCs/>
          <w:lang w:val="en-US"/>
        </w:rPr>
        <w:t>• “</w:t>
      </w:r>
      <w:r>
        <w:rPr>
          <w:bCs/>
          <w:i/>
          <w:iCs/>
          <w:lang w:val="en-US"/>
        </w:rPr>
        <w:t>How Organizational and Geographic Complexity Influence Performance? Evidence from European Banks</w:t>
      </w:r>
      <w:r>
        <w:rPr>
          <w:bCs/>
          <w:iCs/>
          <w:lang w:val="en-US"/>
        </w:rPr>
        <w:t xml:space="preserve">”, </w:t>
      </w:r>
      <w:r>
        <w:rPr>
          <w:bCs/>
          <w:iCs/>
          <w:lang w:val="en-GB"/>
        </w:rPr>
        <w:t xml:space="preserve">with </w:t>
      </w:r>
      <w:r>
        <w:rPr>
          <w:bCs/>
          <w:iCs/>
          <w:lang w:val="en-US"/>
        </w:rPr>
        <w:t>G. Ozturk Danisman</w:t>
      </w:r>
      <w:r>
        <w:rPr>
          <w:bCs/>
          <w:iCs/>
          <w:lang w:val="en-GB"/>
        </w:rPr>
        <w:t xml:space="preserve">, A. Pamen Nyola and A. Sauviat, </w:t>
      </w:r>
      <w:r>
        <w:rPr>
          <w:bCs/>
          <w:iCs/>
          <w:u w:val="single"/>
          <w:lang w:val="en-GB"/>
        </w:rPr>
        <w:t>Journal of Financial Stability</w:t>
      </w:r>
      <w:r>
        <w:rPr>
          <w:bCs/>
          <w:iCs/>
          <w:lang w:val="en-GB"/>
        </w:rPr>
        <w:t>, Vol. 55, August 2021.</w:t>
      </w:r>
    </w:p>
    <w:p w:rsidR="007A1DD5" w:rsidRPr="007A1DD5" w:rsidRDefault="007A1DD5" w:rsidP="007A1DD5">
      <w:pPr>
        <w:spacing w:line="360" w:lineRule="atLeast"/>
        <w:ind w:left="709"/>
        <w:rPr>
          <w:bCs/>
          <w:iCs/>
          <w:lang w:val="en-US"/>
        </w:rPr>
      </w:pPr>
      <w:r>
        <w:rPr>
          <w:bCs/>
          <w:iCs/>
          <w:lang w:val="en-GB"/>
        </w:rPr>
        <w:t xml:space="preserve">• </w:t>
      </w:r>
      <w:r>
        <w:rPr>
          <w:bCs/>
          <w:i/>
          <w:iCs/>
          <w:lang w:val="en-US"/>
        </w:rPr>
        <w:t>" The State Expropriation Risk and the Pricing of Foreign Earnings"</w:t>
      </w:r>
      <w:r>
        <w:rPr>
          <w:bCs/>
          <w:iCs/>
          <w:lang w:val="en-US"/>
        </w:rPr>
        <w:t xml:space="preserve">, with I. Hasan, I. Siraj and Q. Wu, </w:t>
      </w:r>
      <w:r>
        <w:rPr>
          <w:bCs/>
          <w:iCs/>
          <w:u w:val="single"/>
          <w:lang w:val="en-US"/>
        </w:rPr>
        <w:t>Journal of International Accounting Research</w:t>
      </w:r>
      <w:r>
        <w:rPr>
          <w:bCs/>
          <w:iCs/>
          <w:lang w:val="en-US"/>
        </w:rPr>
        <w:t>, Vol. 20(2), April 2021.</w:t>
      </w:r>
    </w:p>
    <w:p w:rsidR="004B4C9A" w:rsidRPr="004B4C9A" w:rsidRDefault="004B4C9A" w:rsidP="004B4C9A">
      <w:pPr>
        <w:spacing w:line="360" w:lineRule="atLeast"/>
        <w:ind w:left="709"/>
        <w:rPr>
          <w:bCs/>
          <w:iCs/>
          <w:lang w:val="en-US"/>
        </w:rPr>
      </w:pPr>
      <w:r>
        <w:rPr>
          <w:bCs/>
          <w:iCs/>
          <w:lang w:val="en-US"/>
        </w:rPr>
        <w:t>• “</w:t>
      </w:r>
      <w:r>
        <w:rPr>
          <w:bCs/>
          <w:i/>
          <w:iCs/>
          <w:lang w:val="en-US"/>
        </w:rPr>
        <w:t>Liquidity Regulation and Bank Lending</w:t>
      </w:r>
      <w:r>
        <w:rPr>
          <w:bCs/>
          <w:iCs/>
          <w:lang w:val="en-US"/>
        </w:rPr>
        <w:t>”, with F. Ananou, D. Chronopoulous and</w:t>
      </w:r>
    </w:p>
    <w:p w:rsidR="004B4C9A" w:rsidRDefault="004B4C9A" w:rsidP="004B4C9A">
      <w:pPr>
        <w:spacing w:line="360" w:lineRule="atLeast"/>
        <w:ind w:left="709"/>
        <w:rPr>
          <w:bCs/>
          <w:iCs/>
          <w:lang w:val="en-US"/>
        </w:rPr>
      </w:pPr>
      <w:r>
        <w:rPr>
          <w:bCs/>
          <w:iCs/>
          <w:lang w:val="en-US"/>
        </w:rPr>
        <w:t xml:space="preserve"> J.Wilson, </w:t>
      </w:r>
      <w:r>
        <w:rPr>
          <w:bCs/>
          <w:iCs/>
          <w:u w:val="single"/>
          <w:lang w:val="en-US"/>
        </w:rPr>
        <w:t>Journal of Corporate Finance</w:t>
      </w:r>
      <w:r>
        <w:rPr>
          <w:bCs/>
          <w:iCs/>
          <w:lang w:val="en-US"/>
        </w:rPr>
        <w:t>, Vol. 69, August 2021.</w:t>
      </w:r>
    </w:p>
    <w:p w:rsidR="00574120" w:rsidRDefault="00323046" w:rsidP="00574120">
      <w:pPr>
        <w:spacing w:line="360" w:lineRule="atLeast"/>
        <w:ind w:left="709"/>
        <w:rPr>
          <w:bCs/>
          <w:iCs/>
          <w:lang w:val="en-US"/>
        </w:rPr>
      </w:pPr>
      <w:r>
        <w:rPr>
          <w:bCs/>
          <w:iCs/>
          <w:lang w:val="en-US"/>
        </w:rPr>
        <w:t>• “</w:t>
      </w:r>
      <w:r>
        <w:rPr>
          <w:bCs/>
          <w:i/>
          <w:iCs/>
          <w:lang w:val="en-US"/>
        </w:rPr>
        <w:t xml:space="preserve">Economic uncertainty and bank stability: Conventional vs. Islamic banking”, </w:t>
      </w:r>
      <w:r>
        <w:rPr>
          <w:bCs/>
          <w:iCs/>
          <w:lang w:val="en-US"/>
        </w:rPr>
        <w:t xml:space="preserve">with M. H. Bilgin, E. Demir, and G. Ozturk Danisman, </w:t>
      </w:r>
      <w:r>
        <w:rPr>
          <w:bCs/>
          <w:iCs/>
          <w:u w:val="single"/>
          <w:lang w:val="en-US"/>
        </w:rPr>
        <w:t>Journal of Financial Stability</w:t>
      </w:r>
      <w:r>
        <w:rPr>
          <w:bCs/>
          <w:iCs/>
          <w:lang w:val="en-US"/>
        </w:rPr>
        <w:t xml:space="preserve">, Vol. 56, October 2021. </w:t>
      </w:r>
    </w:p>
    <w:p w:rsidR="0077591D" w:rsidRDefault="00713606" w:rsidP="00574120">
      <w:pPr>
        <w:spacing w:line="360" w:lineRule="atLeast"/>
        <w:ind w:left="709"/>
        <w:rPr>
          <w:bCs/>
          <w:iCs/>
          <w:lang w:val="en-US"/>
        </w:rPr>
      </w:pPr>
      <w:r>
        <w:rPr>
          <w:bCs/>
          <w:iCs/>
          <w:lang w:val="en-GB"/>
        </w:rPr>
        <w:t xml:space="preserve">• </w:t>
      </w:r>
      <w:r>
        <w:rPr>
          <w:bCs/>
          <w:i/>
          <w:iCs/>
          <w:lang w:val="en-GB"/>
        </w:rPr>
        <w:t>“</w:t>
      </w:r>
      <w:r>
        <w:rPr>
          <w:bCs/>
          <w:i/>
          <w:iCs/>
          <w:lang w:val="en-US"/>
        </w:rPr>
        <w:t>Special Issue on Islamic Banking: Stability and Governance”</w:t>
      </w:r>
      <w:r>
        <w:rPr>
          <w:bCs/>
          <w:iCs/>
          <w:lang w:val="en-US"/>
        </w:rPr>
        <w:t xml:space="preserve">, with P. Abedifar, </w:t>
      </w:r>
      <w:r>
        <w:rPr>
          <w:bCs/>
          <w:iCs/>
          <w:u w:val="single"/>
          <w:lang w:val="en-US"/>
        </w:rPr>
        <w:t>Global Finance Journal</w:t>
      </w:r>
      <w:r>
        <w:rPr>
          <w:bCs/>
          <w:iCs/>
          <w:lang w:val="en-US"/>
        </w:rPr>
        <w:t xml:space="preserve">, vol. 51, February 2022. </w:t>
      </w:r>
    </w:p>
    <w:p w:rsidR="004412DA" w:rsidRDefault="004412DA" w:rsidP="00574120">
      <w:pPr>
        <w:spacing w:line="360" w:lineRule="atLeast"/>
        <w:ind w:left="709"/>
        <w:rPr>
          <w:bCs/>
          <w:iCs/>
          <w:lang w:val="en-GB"/>
        </w:rPr>
      </w:pPr>
      <w:r>
        <w:rPr>
          <w:bCs/>
          <w:iCs/>
          <w:lang w:val="en-GB"/>
        </w:rPr>
        <w:lastRenderedPageBreak/>
        <w:t xml:space="preserve">• </w:t>
      </w:r>
      <w:r>
        <w:rPr>
          <w:bCs/>
          <w:i/>
          <w:iCs/>
          <w:lang w:val="en-GB"/>
        </w:rPr>
        <w:t>"How does regulation affect the organizational form of European banks' presence in developing versus developed countries"</w:t>
      </w:r>
      <w:r>
        <w:rPr>
          <w:bCs/>
          <w:iCs/>
          <w:lang w:val="en-GB"/>
        </w:rPr>
        <w:t xml:space="preserve">, with A. Pamen Nyola and A. Sauviat, </w:t>
      </w:r>
      <w:r>
        <w:rPr>
          <w:bCs/>
          <w:iCs/>
          <w:u w:val="single"/>
          <w:lang w:val="en-US"/>
        </w:rPr>
        <w:t>International Journal of Finance and Economics</w:t>
      </w:r>
      <w:r>
        <w:rPr>
          <w:bCs/>
          <w:iCs/>
          <w:lang w:val="en-US"/>
        </w:rPr>
        <w:t>, Vol. 27(2), 2367–2419, April 2022 (first published online October 2020)</w:t>
      </w:r>
      <w:r>
        <w:rPr>
          <w:bCs/>
          <w:iCs/>
          <w:lang w:val="en-GB"/>
        </w:rPr>
        <w:t>.</w:t>
      </w:r>
    </w:p>
    <w:p w:rsidR="004412DA" w:rsidRDefault="004412DA" w:rsidP="00574120">
      <w:pPr>
        <w:spacing w:line="360" w:lineRule="atLeast"/>
        <w:ind w:left="709"/>
        <w:rPr>
          <w:bCs/>
          <w:iCs/>
          <w:lang w:val="en-US"/>
        </w:rPr>
      </w:pPr>
      <w:r>
        <w:rPr>
          <w:bCs/>
          <w:iCs/>
          <w:lang w:val="en-GB"/>
        </w:rPr>
        <w:t xml:space="preserve">• </w:t>
      </w:r>
      <w:r>
        <w:rPr>
          <w:bCs/>
          <w:i/>
          <w:iCs/>
          <w:lang w:val="en-GB"/>
        </w:rPr>
        <w:t>"</w:t>
      </w:r>
      <w:r>
        <w:rPr>
          <w:bCs/>
          <w:i/>
          <w:iCs/>
          <w:lang w:val="en-US"/>
        </w:rPr>
        <w:t>Competition in dual markets: Implications for banking system stability”</w:t>
      </w:r>
      <w:r>
        <w:rPr>
          <w:bCs/>
          <w:iCs/>
          <w:lang w:val="en-US"/>
        </w:rPr>
        <w:t xml:space="preserve"> with T. Risfandy and I. Trinugroho, </w:t>
      </w:r>
      <w:r>
        <w:rPr>
          <w:bCs/>
          <w:iCs/>
          <w:u w:val="single"/>
          <w:lang w:val="en-US"/>
        </w:rPr>
        <w:t>Global Finance Journal</w:t>
      </w:r>
      <w:r>
        <w:rPr>
          <w:bCs/>
          <w:iCs/>
          <w:lang w:val="en-US"/>
        </w:rPr>
        <w:t>, Vol. 52, May 2022 (first published online October 2020).</w:t>
      </w:r>
    </w:p>
    <w:p w:rsidR="00283CC3" w:rsidRPr="00283CC3" w:rsidRDefault="00283CC3" w:rsidP="00574120">
      <w:pPr>
        <w:spacing w:line="360" w:lineRule="atLeast"/>
        <w:ind w:left="709"/>
        <w:rPr>
          <w:bCs/>
          <w:iCs/>
          <w:lang w:val="en-GB"/>
        </w:rPr>
      </w:pPr>
      <w:r>
        <w:rPr>
          <w:bCs/>
          <w:iCs/>
          <w:lang w:val="en-US"/>
        </w:rPr>
        <w:t>• “</w:t>
      </w:r>
      <w:r>
        <w:rPr>
          <w:bCs/>
          <w:i/>
          <w:iCs/>
          <w:lang w:val="en-GB"/>
        </w:rPr>
        <w:t>A note on regulatory responses to COVID-19 pandemic: Balancing banks’ solvency and contribution to recovery</w:t>
      </w:r>
      <w:r>
        <w:rPr>
          <w:bCs/>
          <w:iCs/>
          <w:lang w:val="en-GB"/>
        </w:rPr>
        <w:t xml:space="preserve">”, with </w:t>
      </w:r>
      <w:r>
        <w:rPr>
          <w:bCs/>
          <w:iCs/>
          <w:lang w:val="en-US"/>
        </w:rPr>
        <w:t xml:space="preserve">M. Bitar, </w:t>
      </w:r>
      <w:r>
        <w:rPr>
          <w:bCs/>
          <w:iCs/>
          <w:u w:val="single"/>
          <w:lang w:val="en-US"/>
        </w:rPr>
        <w:t>Journal of Financial Stability</w:t>
      </w:r>
      <w:r>
        <w:rPr>
          <w:bCs/>
          <w:iCs/>
          <w:lang w:val="en-US"/>
        </w:rPr>
        <w:t xml:space="preserve">, </w:t>
      </w:r>
      <w:r>
        <w:rPr>
          <w:bCs/>
          <w:iCs/>
          <w:lang w:val="en-GB"/>
        </w:rPr>
        <w:t>vol. 60, June 2022.</w:t>
      </w:r>
    </w:p>
    <w:p w:rsidR="00942C58" w:rsidRDefault="00251F33" w:rsidP="00942C58">
      <w:pPr>
        <w:spacing w:line="360" w:lineRule="atLeast"/>
        <w:ind w:left="709"/>
        <w:rPr>
          <w:bCs/>
          <w:iCs/>
          <w:lang w:val="en-US"/>
        </w:rPr>
      </w:pPr>
      <w:r>
        <w:rPr>
          <w:bCs/>
          <w:iCs/>
          <w:lang w:val="en-US"/>
        </w:rPr>
        <w:t>• “</w:t>
      </w:r>
      <w:r>
        <w:rPr>
          <w:bCs/>
          <w:i/>
          <w:iCs/>
          <w:lang w:val="en-US"/>
        </w:rPr>
        <w:t>Expropriation risk vs. government bailout: implications for minority shareholders of state-owned banks</w:t>
      </w:r>
      <w:r>
        <w:rPr>
          <w:bCs/>
          <w:iCs/>
          <w:lang w:val="en-US"/>
        </w:rPr>
        <w:t xml:space="preserve">”, with A. Achsanta and L. Lepetit, </w:t>
      </w:r>
      <w:r>
        <w:rPr>
          <w:bCs/>
          <w:iCs/>
          <w:u w:val="single"/>
          <w:lang w:val="en-US"/>
        </w:rPr>
        <w:t>Economic Modelling</w:t>
      </w:r>
      <w:r>
        <w:rPr>
          <w:bCs/>
          <w:iCs/>
          <w:lang w:val="en-US"/>
        </w:rPr>
        <w:t xml:space="preserve">, vol. 112, July 2022. </w:t>
      </w:r>
    </w:p>
    <w:p w:rsidR="00D16275" w:rsidRDefault="00D16275" w:rsidP="00ED4F63">
      <w:pPr>
        <w:spacing w:line="360" w:lineRule="atLeast"/>
        <w:ind w:left="709"/>
        <w:rPr>
          <w:bCs/>
          <w:iCs/>
          <w:lang w:val="en-US"/>
        </w:rPr>
      </w:pPr>
      <w:r>
        <w:rPr>
          <w:bCs/>
          <w:iCs/>
          <w:lang w:val="en-US"/>
        </w:rPr>
        <w:t>• “</w:t>
      </w:r>
      <w:r>
        <w:rPr>
          <w:bCs/>
          <w:i/>
          <w:iCs/>
          <w:lang w:val="en-US"/>
        </w:rPr>
        <w:t xml:space="preserve">Resilience of Environmental and Social Stocks under Stress: Lessons from the COVID-19 Pandemic”, </w:t>
      </w:r>
      <w:r>
        <w:rPr>
          <w:bCs/>
          <w:iCs/>
          <w:lang w:val="en-US"/>
        </w:rPr>
        <w:t xml:space="preserve">with P. Abedifar, K. Bouslah and C. Neumann, </w:t>
      </w:r>
      <w:r>
        <w:rPr>
          <w:bCs/>
          <w:iCs/>
          <w:u w:val="single"/>
          <w:lang w:val="en-US"/>
        </w:rPr>
        <w:t>Financial Markets, Institutions, and Instruments</w:t>
      </w:r>
      <w:r>
        <w:rPr>
          <w:bCs/>
          <w:iCs/>
          <w:lang w:val="en-US"/>
        </w:rPr>
        <w:t>, 1-28, June 2022.</w:t>
      </w:r>
    </w:p>
    <w:p w:rsidR="00795B41" w:rsidRDefault="00795B41" w:rsidP="00ED4F63">
      <w:pPr>
        <w:spacing w:line="360" w:lineRule="atLeast"/>
        <w:ind w:left="709"/>
        <w:rPr>
          <w:bCs/>
          <w:iCs/>
          <w:lang w:val="en-US"/>
        </w:rPr>
      </w:pPr>
      <w:r>
        <w:rPr>
          <w:bCs/>
          <w:iCs/>
          <w:lang w:val="en-US"/>
        </w:rPr>
        <w:t xml:space="preserve">• </w:t>
      </w:r>
      <w:r>
        <w:rPr>
          <w:bCs/>
          <w:i/>
          <w:iCs/>
          <w:lang w:val="en-US"/>
        </w:rPr>
        <w:t xml:space="preserve">"Individualism, formal institutional environment and bank capital decisions”, </w:t>
      </w:r>
      <w:r>
        <w:rPr>
          <w:bCs/>
          <w:iCs/>
          <w:lang w:val="en-GB"/>
        </w:rPr>
        <w:t xml:space="preserve">with </w:t>
      </w:r>
      <w:r>
        <w:rPr>
          <w:bCs/>
          <w:iCs/>
          <w:lang w:val="en-US"/>
        </w:rPr>
        <w:t xml:space="preserve">M. Bitar, </w:t>
      </w:r>
      <w:r>
        <w:rPr>
          <w:bCs/>
          <w:iCs/>
          <w:u w:val="single"/>
          <w:lang w:val="en-US"/>
        </w:rPr>
        <w:t>Journal of Corporate Finance</w:t>
      </w:r>
      <w:r>
        <w:rPr>
          <w:bCs/>
          <w:iCs/>
          <w:lang w:val="en-US"/>
        </w:rPr>
        <w:t>, 76, October 2022.</w:t>
      </w:r>
    </w:p>
    <w:p w:rsidR="00C73856" w:rsidRDefault="00C73856" w:rsidP="00C73856">
      <w:pPr>
        <w:spacing w:line="360" w:lineRule="atLeast"/>
        <w:ind w:left="709"/>
        <w:rPr>
          <w:bCs/>
          <w:iCs/>
          <w:lang w:val="en-GB"/>
        </w:rPr>
      </w:pPr>
      <w:r>
        <w:rPr>
          <w:bCs/>
          <w:iCs/>
          <w:lang w:val="en-GB"/>
        </w:rPr>
        <w:t>• "</w:t>
      </w:r>
      <w:r>
        <w:rPr>
          <w:bCs/>
          <w:i/>
          <w:iCs/>
          <w:lang w:val="en-GB"/>
        </w:rPr>
        <w:t>Does banks' systemic importance affect their capital structure adjustment process</w:t>
      </w:r>
      <w:r>
        <w:rPr>
          <w:bCs/>
          <w:iCs/>
          <w:lang w:val="en-GB"/>
        </w:rPr>
        <w:t xml:space="preserve">?", with Y. Bakkar and O. De Jonghe, </w:t>
      </w:r>
      <w:r>
        <w:rPr>
          <w:bCs/>
          <w:iCs/>
          <w:u w:val="single"/>
          <w:lang w:val="en-US"/>
        </w:rPr>
        <w:t>Journal of Banking and Finance</w:t>
      </w:r>
      <w:r>
        <w:rPr>
          <w:bCs/>
          <w:iCs/>
          <w:lang w:val="en-US"/>
        </w:rPr>
        <w:t xml:space="preserve">, </w:t>
      </w:r>
      <w:r>
        <w:rPr>
          <w:bCs/>
          <w:iCs/>
          <w:lang w:val="en-GB"/>
        </w:rPr>
        <w:t xml:space="preserve">vol. 151, June 2023. </w:t>
      </w:r>
    </w:p>
    <w:p w:rsidR="00FE2AD4" w:rsidRPr="00FE2AD4" w:rsidRDefault="00FE2AD4" w:rsidP="00FE2AD4">
      <w:pPr>
        <w:spacing w:line="360" w:lineRule="atLeast"/>
        <w:ind w:left="709"/>
        <w:rPr>
          <w:bCs/>
          <w:iCs/>
          <w:lang w:val="en-US"/>
        </w:rPr>
      </w:pPr>
      <w:r>
        <w:rPr>
          <w:bCs/>
          <w:iCs/>
          <w:lang w:val="en-US"/>
        </w:rPr>
        <w:t>•</w:t>
      </w:r>
      <w:r>
        <w:rPr>
          <w:bCs/>
          <w:i/>
          <w:iCs/>
          <w:lang w:val="en-US"/>
        </w:rPr>
        <w:t xml:space="preserve"> “Cash Shortfall, SEO Offer Size, and SEO Announcement Returns”</w:t>
      </w:r>
      <w:r>
        <w:rPr>
          <w:bCs/>
          <w:iCs/>
          <w:lang w:val="en-US"/>
        </w:rPr>
        <w:t xml:space="preserve">, with E. Bazrafshan, </w:t>
      </w:r>
      <w:r>
        <w:rPr>
          <w:bCs/>
          <w:iCs/>
          <w:u w:val="single"/>
          <w:lang w:val="en-US"/>
        </w:rPr>
        <w:t>European Journal of Finance</w:t>
      </w:r>
      <w:r>
        <w:rPr>
          <w:bCs/>
          <w:iCs/>
          <w:lang w:val="en-US"/>
        </w:rPr>
        <w:t>, vol. 29, issue 5, 2023.</w:t>
      </w:r>
    </w:p>
    <w:p w:rsidR="00C73856" w:rsidRDefault="00C73856" w:rsidP="00C73856">
      <w:pPr>
        <w:spacing w:line="360" w:lineRule="atLeast"/>
        <w:ind w:left="709"/>
        <w:rPr>
          <w:bCs/>
          <w:iCs/>
          <w:lang w:val="en-US"/>
        </w:rPr>
      </w:pPr>
      <w:r>
        <w:rPr>
          <w:bCs/>
          <w:iCs/>
          <w:lang w:val="en-GB"/>
        </w:rPr>
        <w:t xml:space="preserve">• </w:t>
      </w:r>
      <w:r>
        <w:rPr>
          <w:bCs/>
          <w:i/>
          <w:iCs/>
          <w:lang w:val="en-GB"/>
        </w:rPr>
        <w:t>"</w:t>
      </w:r>
      <w:r>
        <w:rPr>
          <w:bCs/>
          <w:i/>
          <w:iCs/>
          <w:lang w:val="en-US"/>
        </w:rPr>
        <w:t>Disentangling the Effect of Trust on Bank Lending”</w:t>
      </w:r>
      <w:r>
        <w:rPr>
          <w:bCs/>
          <w:iCs/>
          <w:lang w:val="en-US"/>
        </w:rPr>
        <w:t xml:space="preserve">, with C. Nicolas and G.O. Danisman, </w:t>
      </w:r>
      <w:r>
        <w:rPr>
          <w:bCs/>
          <w:iCs/>
          <w:u w:val="single"/>
          <w:lang w:val="en-US"/>
        </w:rPr>
        <w:t>Journal of Economic Behavior and Organization</w:t>
      </w:r>
      <w:r>
        <w:rPr>
          <w:bCs/>
          <w:iCs/>
          <w:lang w:val="en-US"/>
        </w:rPr>
        <w:t xml:space="preserve">, vol. 210, June 2023. </w:t>
      </w:r>
    </w:p>
    <w:p w:rsidR="000E2E50" w:rsidRDefault="000E2E50" w:rsidP="00C73856">
      <w:pPr>
        <w:spacing w:line="360" w:lineRule="atLeast"/>
        <w:ind w:left="709"/>
        <w:rPr>
          <w:bCs/>
          <w:iCs/>
          <w:lang w:val="en-US"/>
        </w:rPr>
      </w:pPr>
      <w:r>
        <w:rPr>
          <w:bCs/>
          <w:iCs/>
          <w:lang w:val="en-US"/>
        </w:rPr>
        <w:t xml:space="preserve">• </w:t>
      </w:r>
      <w:r>
        <w:rPr>
          <w:bCs/>
          <w:i/>
          <w:iCs/>
          <w:lang w:val="en-US"/>
        </w:rPr>
        <w:t>“ESG activity and bank lending during financial crises”, with G.O. Danisman</w:t>
      </w:r>
      <w:r>
        <w:rPr>
          <w:bCs/>
          <w:iCs/>
          <w:lang w:val="en-US"/>
        </w:rPr>
        <w:t xml:space="preserve">, </w:t>
      </w:r>
      <w:r>
        <w:rPr>
          <w:bCs/>
          <w:iCs/>
          <w:u w:val="single"/>
          <w:lang w:val="en-US"/>
        </w:rPr>
        <w:t>Journal of Financial Stability</w:t>
      </w:r>
      <w:r>
        <w:rPr>
          <w:bCs/>
          <w:iCs/>
          <w:lang w:val="en-US"/>
        </w:rPr>
        <w:t>, vol. 70, February 2024.</w:t>
      </w:r>
    </w:p>
    <w:p w:rsidR="000E2E50" w:rsidRDefault="000E2E50" w:rsidP="00C73856">
      <w:pPr>
        <w:spacing w:line="360" w:lineRule="atLeast"/>
        <w:ind w:left="709"/>
        <w:rPr>
          <w:bCs/>
          <w:iCs/>
          <w:lang w:val="en-US"/>
        </w:rPr>
      </w:pPr>
      <w:r>
        <w:rPr>
          <w:bCs/>
          <w:iCs/>
          <w:lang w:val="en-US"/>
        </w:rPr>
        <w:t>• “</w:t>
      </w:r>
      <w:r>
        <w:rPr>
          <w:bCs/>
          <w:i/>
          <w:iCs/>
          <w:lang w:val="en-US"/>
        </w:rPr>
        <w:t>Economic policy uncertainty and bank stability”</w:t>
      </w:r>
      <w:r>
        <w:rPr>
          <w:bCs/>
          <w:iCs/>
          <w:lang w:val="en-US"/>
        </w:rPr>
        <w:t xml:space="preserve">, with G. Ozturk Danisman, </w:t>
      </w:r>
      <w:r>
        <w:rPr>
          <w:bCs/>
          <w:iCs/>
          <w:u w:val="single"/>
          <w:lang w:val="en-US"/>
        </w:rPr>
        <w:t>Quarterly Review of Economics and Finance</w:t>
      </w:r>
      <w:r>
        <w:rPr>
          <w:bCs/>
          <w:iCs/>
          <w:lang w:val="en-US"/>
        </w:rPr>
        <w:t>, vol. 93, February 2024.</w:t>
      </w:r>
    </w:p>
    <w:p w:rsidR="001E3ACE" w:rsidRDefault="001E3ACE" w:rsidP="001539AF">
      <w:pPr>
        <w:spacing w:line="360" w:lineRule="atLeast"/>
        <w:ind w:left="709"/>
        <w:rPr>
          <w:bCs/>
          <w:iCs/>
          <w:lang w:val="en-US"/>
        </w:rPr>
      </w:pPr>
      <w:r>
        <w:rPr>
          <w:bCs/>
          <w:iCs/>
          <w:lang w:val="en-US"/>
        </w:rPr>
        <w:t>• “</w:t>
      </w:r>
      <w:r>
        <w:rPr>
          <w:bCs/>
          <w:i/>
          <w:iCs/>
          <w:lang w:val="en-US"/>
        </w:rPr>
        <w:t>Corruption and bank risk-taking: The deterring role of Shari’ah supervision”</w:t>
      </w:r>
      <w:r>
        <w:rPr>
          <w:bCs/>
          <w:iCs/>
          <w:lang w:val="en-US"/>
        </w:rPr>
        <w:t xml:space="preserve">, with I. Bitar, M. Khan, A, Hassan and A. Fraz, </w:t>
      </w:r>
      <w:r>
        <w:rPr>
          <w:bCs/>
          <w:iCs/>
          <w:u w:val="single"/>
          <w:lang w:val="en-US"/>
        </w:rPr>
        <w:t>Corporate Governance: An International Review</w:t>
      </w:r>
      <w:r>
        <w:rPr>
          <w:bCs/>
          <w:iCs/>
          <w:lang w:val="en-US"/>
        </w:rPr>
        <w:t>, 0:1–32, February 2024.</w:t>
      </w:r>
    </w:p>
    <w:p w:rsidR="008006E9" w:rsidRPr="008006E9" w:rsidRDefault="008006E9" w:rsidP="008006E9">
      <w:pPr>
        <w:spacing w:line="360" w:lineRule="atLeast"/>
        <w:ind w:left="709"/>
        <w:rPr>
          <w:bCs/>
          <w:iCs/>
          <w:lang w:val="en-US"/>
        </w:rPr>
      </w:pPr>
      <w:r>
        <w:rPr>
          <w:bCs/>
          <w:iCs/>
          <w:lang w:val="en-US"/>
        </w:rPr>
        <w:t xml:space="preserve">• </w:t>
      </w:r>
      <w:r>
        <w:rPr>
          <w:bCs/>
          <w:i/>
          <w:iCs/>
          <w:lang w:val="en-US"/>
        </w:rPr>
        <w:t>“Do banks adjust their capital when they face liquidity shortages? Evidence from U.S. commercial banks“</w:t>
      </w:r>
      <w:r>
        <w:rPr>
          <w:bCs/>
          <w:iCs/>
          <w:lang w:val="en-US"/>
        </w:rPr>
        <w:t xml:space="preserve">, with T. Barry and A. Diabaté, </w:t>
      </w:r>
      <w:r>
        <w:rPr>
          <w:bCs/>
          <w:iCs/>
          <w:u w:val="single"/>
          <w:lang w:val="en-US"/>
        </w:rPr>
        <w:t>Financial Markets, Institutions &amp; Instruments</w:t>
      </w:r>
      <w:r>
        <w:rPr>
          <w:bCs/>
          <w:iCs/>
          <w:lang w:val="en-US"/>
        </w:rPr>
        <w:t xml:space="preserve">, July, 1-28, 2024. </w:t>
      </w:r>
    </w:p>
    <w:p w:rsidR="00E81D1A" w:rsidRDefault="008006E9" w:rsidP="00E81D1A">
      <w:pPr>
        <w:spacing w:line="360" w:lineRule="atLeast"/>
        <w:ind w:left="709"/>
        <w:rPr>
          <w:bCs/>
          <w:lang w:val="en-US"/>
        </w:rPr>
      </w:pPr>
      <w:r>
        <w:rPr>
          <w:bCs/>
          <w:iCs/>
          <w:lang w:val="en-US"/>
        </w:rPr>
        <w:t xml:space="preserve">• </w:t>
      </w:r>
      <w:r>
        <w:rPr>
          <w:bCs/>
          <w:i/>
          <w:iCs/>
          <w:lang w:val="en-US"/>
        </w:rPr>
        <w:t>“The Sale of Failed Banks: The Importance of Their Branch Networks and of the Acquirers Financial Strength”</w:t>
      </w:r>
      <w:r>
        <w:rPr>
          <w:bCs/>
          <w:iCs/>
          <w:lang w:val="en-US"/>
        </w:rPr>
        <w:t xml:space="preserve">, with P. Abedifar, M. Abdollahzadeh and L.J. White, </w:t>
      </w:r>
      <w:r>
        <w:rPr>
          <w:bCs/>
          <w:iCs/>
          <w:u w:val="single"/>
          <w:lang w:val="en-US"/>
        </w:rPr>
        <w:t>Journal of Financial Stability</w:t>
      </w:r>
      <w:r>
        <w:rPr>
          <w:bCs/>
          <w:iCs/>
          <w:lang w:val="en-US"/>
        </w:rPr>
        <w:t>, vol. 75, 1-22, December 2024</w:t>
      </w:r>
      <w:r>
        <w:rPr>
          <w:bCs/>
          <w:i/>
          <w:iCs/>
          <w:lang w:val="en-US"/>
        </w:rPr>
        <w:t>.</w:t>
      </w:r>
    </w:p>
    <w:p w:rsidR="00DF0EBF" w:rsidRPr="00DF0EBF" w:rsidRDefault="00DF0EBF" w:rsidP="00DF0EBF">
      <w:pPr>
        <w:spacing w:line="360" w:lineRule="atLeast"/>
        <w:ind w:left="709"/>
        <w:rPr>
          <w:bCs/>
          <w:lang w:val="en-US"/>
        </w:rPr>
      </w:pPr>
      <w:r>
        <w:rPr>
          <w:bCs/>
          <w:iCs/>
          <w:lang w:val="en-US"/>
        </w:rPr>
        <w:t xml:space="preserve">• </w:t>
      </w:r>
      <w:r>
        <w:rPr>
          <w:bCs/>
          <w:i/>
          <w:iCs/>
          <w:lang w:val="en-US"/>
        </w:rPr>
        <w:t>“Subcategories of ESG controversies and firm value”</w:t>
      </w:r>
      <w:r>
        <w:rPr>
          <w:bCs/>
          <w:lang w:val="en-US"/>
        </w:rPr>
        <w:t xml:space="preserve">, with C. Faure and E. Nys, </w:t>
      </w:r>
      <w:r>
        <w:rPr>
          <w:bCs/>
          <w:u w:val="single"/>
          <w:lang w:val="en-US"/>
        </w:rPr>
        <w:t>Finance Research Letters</w:t>
      </w:r>
      <w:r>
        <w:rPr>
          <w:bCs/>
          <w:lang w:val="en-US"/>
        </w:rPr>
        <w:t>, vol. 79, June 2025.</w:t>
      </w:r>
    </w:p>
    <w:p w:rsidR="00DF0EBF" w:rsidRDefault="00A50B8F" w:rsidP="00DF0EBF">
      <w:pPr>
        <w:spacing w:line="360" w:lineRule="atLeast"/>
        <w:ind w:left="709"/>
        <w:rPr>
          <w:bCs/>
          <w:iCs/>
          <w:lang w:val="en-US"/>
        </w:rPr>
      </w:pPr>
      <w:r>
        <w:rPr>
          <w:bCs/>
          <w:iCs/>
          <w:lang w:val="en-US"/>
        </w:rPr>
        <w:lastRenderedPageBreak/>
        <w:t xml:space="preserve">• </w:t>
      </w:r>
      <w:r>
        <w:rPr>
          <w:bCs/>
          <w:i/>
          <w:iCs/>
          <w:lang w:val="en-US"/>
        </w:rPr>
        <w:t>« Monitoring bank risk around the world using unsupervised learning »</w:t>
      </w:r>
      <w:r>
        <w:rPr>
          <w:bCs/>
          <w:iCs/>
          <w:lang w:val="en-US"/>
        </w:rPr>
        <w:t xml:space="preserve">, with Mercadier M., Armand P. and Lardy JP, </w:t>
      </w:r>
      <w:r>
        <w:rPr>
          <w:bCs/>
          <w:iCs/>
          <w:u w:val="single"/>
          <w:lang w:val="en-US"/>
        </w:rPr>
        <w:t>European Journal of Operational Research</w:t>
      </w:r>
      <w:r>
        <w:rPr>
          <w:bCs/>
          <w:iCs/>
          <w:lang w:val="en-US"/>
        </w:rPr>
        <w:t>, vol. 324 (2), 590-615, July 2025.</w:t>
      </w:r>
      <w:r>
        <w:rPr>
          <w:bCs/>
          <w:i/>
          <w:iCs/>
          <w:lang w:val="en-US"/>
        </w:rPr>
        <w:t xml:space="preserve"> </w:t>
      </w:r>
      <w:r>
        <w:rPr>
          <w:bCs/>
          <w:iCs/>
          <w:lang w:val="en-US"/>
        </w:rPr>
        <w:t xml:space="preserve"> </w:t>
      </w:r>
    </w:p>
    <w:p w:rsidR="00655C37" w:rsidRDefault="00DF0EBF" w:rsidP="00655C37">
      <w:pPr>
        <w:spacing w:line="360" w:lineRule="atLeast"/>
        <w:ind w:left="709"/>
        <w:rPr>
          <w:bCs/>
          <w:iCs/>
          <w:lang w:val="en-US"/>
        </w:rPr>
      </w:pPr>
      <w:r>
        <w:rPr>
          <w:bCs/>
          <w:iCs/>
          <w:lang w:val="en-US"/>
        </w:rPr>
        <w:t>• “</w:t>
      </w:r>
      <w:r>
        <w:rPr>
          <w:bCs/>
          <w:i/>
          <w:iCs/>
          <w:lang w:val="en-US"/>
        </w:rPr>
        <w:t>Net Stable Funding Ratio: Implication for Bank Stability in Europe</w:t>
      </w:r>
      <w:r>
        <w:rPr>
          <w:bCs/>
          <w:iCs/>
          <w:lang w:val="en-US"/>
        </w:rPr>
        <w:t xml:space="preserve">”, with I. Khalifeh, F. Benhmad, C. El Moussawi, </w:t>
      </w:r>
      <w:r>
        <w:rPr>
          <w:bCs/>
          <w:iCs/>
          <w:u w:val="single"/>
          <w:lang w:val="en-US"/>
        </w:rPr>
        <w:t>Global Finance Journal</w:t>
      </w:r>
      <w:r>
        <w:rPr>
          <w:bCs/>
          <w:iCs/>
          <w:lang w:val="en-US"/>
        </w:rPr>
        <w:t xml:space="preserve">, vol. 76, September 2025. </w:t>
      </w:r>
    </w:p>
    <w:p w:rsidR="00655C37" w:rsidRDefault="00D76371" w:rsidP="00655C37">
      <w:pPr>
        <w:spacing w:line="360" w:lineRule="atLeast"/>
        <w:ind w:left="709"/>
        <w:rPr>
          <w:bCs/>
          <w:iCs/>
          <w:lang w:val="en-GB"/>
        </w:rPr>
      </w:pPr>
      <w:r>
        <w:rPr>
          <w:bCs/>
          <w:iCs/>
          <w:lang w:val="en-GB"/>
        </w:rPr>
        <w:t>• “</w:t>
      </w:r>
      <w:r>
        <w:rPr>
          <w:bCs/>
          <w:i/>
          <w:iCs/>
          <w:lang w:val="en-GB"/>
        </w:rPr>
        <w:t>Bank liquidity management during financial crises”</w:t>
      </w:r>
      <w:r>
        <w:rPr>
          <w:bCs/>
          <w:iCs/>
          <w:lang w:val="en-GB"/>
        </w:rPr>
        <w:t xml:space="preserve">, with I. Distinguin and O. Labchara, </w:t>
      </w:r>
      <w:r>
        <w:rPr>
          <w:bCs/>
          <w:iCs/>
          <w:u w:val="single"/>
          <w:lang w:val="en-GB"/>
        </w:rPr>
        <w:t>Economics Bulletin</w:t>
      </w:r>
      <w:r>
        <w:rPr>
          <w:bCs/>
          <w:iCs/>
          <w:lang w:val="en-GB"/>
        </w:rPr>
        <w:t xml:space="preserve">, </w:t>
      </w:r>
      <w:r>
        <w:rPr>
          <w:bCs/>
          <w:iCs/>
          <w:lang w:val="en-US"/>
        </w:rPr>
        <w:t>Volume 45, June 2025</w:t>
      </w:r>
      <w:r>
        <w:rPr>
          <w:bCs/>
          <w:iCs/>
          <w:lang w:val="en-GB"/>
        </w:rPr>
        <w:t>.</w:t>
      </w:r>
    </w:p>
    <w:p w:rsidR="00B40042" w:rsidRPr="00B40042" w:rsidRDefault="00B40042" w:rsidP="00B40042">
      <w:pPr>
        <w:spacing w:line="360" w:lineRule="atLeast"/>
        <w:ind w:left="709"/>
        <w:rPr>
          <w:bCs/>
          <w:iCs/>
          <w:lang w:val="en-US"/>
        </w:rPr>
      </w:pPr>
      <w:r>
        <w:rPr>
          <w:bCs/>
          <w:iCs/>
          <w:lang w:val="en-GB"/>
        </w:rPr>
        <w:t>•</w:t>
      </w:r>
      <w:r>
        <w:rPr>
          <w:bCs/>
          <w:iCs/>
          <w:lang w:val="en-US"/>
        </w:rPr>
        <w:t xml:space="preserve"> “Climate risk news and banking industry: a natural language processing approach”, with B. Naysary and A., </w:t>
      </w:r>
      <w:r>
        <w:rPr>
          <w:bCs/>
          <w:iCs/>
          <w:u w:val="single"/>
          <w:lang w:val="en-US"/>
        </w:rPr>
        <w:t>Journal of Financial Stability</w:t>
      </w:r>
      <w:r>
        <w:rPr>
          <w:bCs/>
          <w:iCs/>
          <w:lang w:val="en-US"/>
        </w:rPr>
        <w:t>, vol. 84, 1-21, June 2026</w:t>
      </w:r>
    </w:p>
    <w:p w:rsidR="005C01E5" w:rsidRDefault="005C01E5" w:rsidP="005C01E5">
      <w:pPr>
        <w:spacing w:line="360" w:lineRule="atLeast"/>
        <w:ind w:left="709"/>
        <w:rPr>
          <w:bCs/>
          <w:iCs/>
          <w:lang w:val="en-US"/>
        </w:rPr>
      </w:pPr>
      <w:r>
        <w:rPr>
          <w:bCs/>
          <w:iCs/>
          <w:lang w:val="en-US"/>
        </w:rPr>
        <w:t xml:space="preserve">• </w:t>
      </w:r>
      <w:r>
        <w:rPr>
          <w:bCs/>
          <w:i/>
          <w:iCs/>
          <w:lang w:val="en-US"/>
        </w:rPr>
        <w:t>“Does Liquidity Regulation Reduce Bank and Systemic Risk? Evidence from a Quasi-Natural Experiment”</w:t>
      </w:r>
      <w:r>
        <w:rPr>
          <w:bCs/>
          <w:iCs/>
          <w:lang w:val="en-US"/>
        </w:rPr>
        <w:t xml:space="preserve">, with F. Ananou, D. Chronopoulous and J.Wilson, </w:t>
      </w:r>
      <w:r>
        <w:rPr>
          <w:bCs/>
          <w:iCs/>
          <w:u w:val="single"/>
          <w:lang w:val="en-US"/>
        </w:rPr>
        <w:t>Journal of Financial Stability</w:t>
      </w:r>
      <w:r>
        <w:rPr>
          <w:bCs/>
          <w:iCs/>
          <w:lang w:val="en-US"/>
        </w:rPr>
        <w:t xml:space="preserve">, Volume 84, June 2026. </w:t>
      </w:r>
    </w:p>
    <w:p w:rsidR="005F57AC" w:rsidRPr="005F57AC" w:rsidRDefault="005F57AC" w:rsidP="005F57AC">
      <w:pPr>
        <w:spacing w:line="360" w:lineRule="atLeast"/>
        <w:ind w:left="709"/>
        <w:rPr>
          <w:bCs/>
          <w:i/>
          <w:iCs/>
          <w:lang w:val="en-US"/>
        </w:rPr>
      </w:pPr>
      <w:r>
        <w:rPr>
          <w:bCs/>
          <w:iCs/>
          <w:lang w:val="en-GB"/>
        </w:rPr>
        <w:t>•</w:t>
      </w:r>
      <w:r>
        <w:rPr>
          <w:bCs/>
          <w:iCs/>
          <w:lang w:val="en-US"/>
        </w:rPr>
        <w:t xml:space="preserve"> </w:t>
      </w:r>
      <w:r>
        <w:rPr>
          <w:bCs/>
          <w:i/>
          <w:iCs/>
          <w:lang w:val="en-US"/>
        </w:rPr>
        <w:t>“Relationship Banking: The Borrower’s Incentives Channel”</w:t>
      </w:r>
      <w:r>
        <w:rPr>
          <w:bCs/>
          <w:iCs/>
          <w:lang w:val="en-US"/>
        </w:rPr>
        <w:t xml:space="preserve">, with P. Abedifar, S. Kamyab and S. Ongena, </w:t>
      </w:r>
      <w:r>
        <w:rPr>
          <w:bCs/>
          <w:iCs/>
          <w:u w:val="single"/>
          <w:lang w:val="en-US"/>
        </w:rPr>
        <w:t>Journal of Corporate Finance</w:t>
      </w:r>
      <w:r>
        <w:rPr>
          <w:bCs/>
          <w:iCs/>
          <w:lang w:val="en-US"/>
        </w:rPr>
        <w:t>, Volume 101, September 2026..</w:t>
      </w:r>
    </w:p>
    <w:p w:rsidR="00B40042" w:rsidRPr="005C01E5" w:rsidRDefault="005F57AC" w:rsidP="005C01E5">
      <w:pPr>
        <w:spacing w:line="360" w:lineRule="atLeast"/>
        <w:ind w:left="709"/>
        <w:rPr>
          <w:bCs/>
          <w:iCs/>
          <w:lang w:val="en-US"/>
        </w:rPr>
      </w:pPr>
      <w:r>
        <w:rPr>
          <w:bCs/>
          <w:iCs/>
          <w:lang w:val="en-GB"/>
        </w:rPr>
        <w:t>•</w:t>
      </w:r>
      <w:r>
        <w:rPr>
          <w:lang w:val="en-US"/>
        </w:rPr>
        <w:t xml:space="preserve">  “</w:t>
      </w:r>
      <w:r>
        <w:rPr>
          <w:i/>
          <w:iCs/>
          <w:lang w:val="en-US"/>
        </w:rPr>
        <w:t>Small Banks Really Are Different: Unexpected Deposit Flows, Loan Production, and Off-Balance-Sheet Funding Liquidity Risk</w:t>
      </w:r>
      <w:r>
        <w:rPr>
          <w:lang w:val="en-US"/>
        </w:rPr>
        <w:t xml:space="preserve">”, with G. Danisman, T. Barry, A. Diabaté, and L.J. White, </w:t>
      </w:r>
      <w:r>
        <w:rPr>
          <w:u w:val="single"/>
          <w:lang w:val="en-US"/>
        </w:rPr>
        <w:t>Journal of Corporate Finance</w:t>
      </w:r>
      <w:r>
        <w:rPr>
          <w:lang w:val="en-US"/>
        </w:rPr>
        <w:t xml:space="preserve">, second round. </w:t>
      </w:r>
    </w:p>
    <w:p w:rsidR="00086AE6" w:rsidRPr="008006E9" w:rsidRDefault="00086AE6" w:rsidP="008006E9">
      <w:pPr>
        <w:spacing w:line="360" w:lineRule="atLeast"/>
        <w:ind w:left="709"/>
        <w:rPr>
          <w:bCs/>
          <w:iCs/>
          <w:lang w:val="en-US"/>
        </w:rPr>
      </w:pPr>
      <w:r>
        <w:rPr>
          <w:bCs/>
          <w:lang w:val="en-GB"/>
        </w:rPr>
        <w:t>•</w:t>
      </w:r>
      <w:r>
        <w:rPr>
          <w:bCs/>
          <w:i/>
          <w:lang w:val="id-ID"/>
        </w:rPr>
        <w:t xml:space="preserve"> “</w:t>
      </w:r>
      <w:r>
        <w:rPr>
          <w:bCs/>
          <w:i/>
          <w:lang w:val="en-GB"/>
        </w:rPr>
        <w:t>Bank charter value and market discipline : evidence from two safe banking industries</w:t>
      </w:r>
      <w:r>
        <w:rPr>
          <w:bCs/>
          <w:i/>
          <w:lang w:val="id-ID"/>
        </w:rPr>
        <w:t xml:space="preserve">” </w:t>
      </w:r>
      <w:r>
        <w:rPr>
          <w:bCs/>
          <w:lang w:val="id-ID"/>
        </w:rPr>
        <w:t xml:space="preserve">with </w:t>
      </w:r>
      <w:r>
        <w:rPr>
          <w:bCs/>
          <w:lang w:val="en-GB"/>
        </w:rPr>
        <w:t xml:space="preserve">M. Haq </w:t>
      </w:r>
      <w:r>
        <w:rPr>
          <w:bCs/>
          <w:lang w:val="id-ID"/>
        </w:rPr>
        <w:t xml:space="preserve"> and </w:t>
      </w:r>
      <w:r>
        <w:rPr>
          <w:bCs/>
          <w:lang w:val="en-GB"/>
        </w:rPr>
        <w:t>A.R. Fonseca</w:t>
      </w:r>
      <w:r>
        <w:rPr>
          <w:bCs/>
          <w:lang w:val="id-ID"/>
        </w:rPr>
        <w:t>,</w:t>
      </w:r>
      <w:r>
        <w:rPr>
          <w:bCs/>
          <w:lang w:val="en-GB"/>
        </w:rPr>
        <w:t xml:space="preserve"> </w:t>
      </w:r>
      <w:r>
        <w:rPr>
          <w:bCs/>
          <w:iCs/>
          <w:u w:val="single"/>
          <w:lang w:val="en-US"/>
        </w:rPr>
        <w:t>Journal of International Financial Markets, Institutions and Money</w:t>
      </w:r>
      <w:r>
        <w:rPr>
          <w:bCs/>
          <w:iCs/>
          <w:lang w:val="en-US"/>
        </w:rPr>
        <w:t>, second round</w:t>
      </w:r>
      <w:r>
        <w:rPr>
          <w:bCs/>
          <w:lang w:val="en-GB"/>
        </w:rPr>
        <w:t>.</w:t>
      </w:r>
    </w:p>
    <w:p w:rsidR="00997178" w:rsidRDefault="00997178" w:rsidP="00061E35">
      <w:pPr>
        <w:tabs>
          <w:tab w:val="left" w:pos="1701"/>
          <w:tab w:val="left" w:pos="1927"/>
        </w:tabs>
        <w:spacing w:line="360" w:lineRule="atLeast"/>
        <w:ind w:left="840" w:hanging="220"/>
        <w:rPr>
          <w:bCs/>
          <w:iCs/>
          <w:lang w:val="en-US"/>
        </w:rPr>
      </w:pPr>
      <w:r>
        <w:rPr>
          <w:bCs/>
          <w:iCs/>
          <w:lang w:val="en-GB"/>
        </w:rPr>
        <w:t xml:space="preserve">• </w:t>
      </w:r>
      <w:r>
        <w:rPr>
          <w:bCs/>
          <w:iCs/>
          <w:lang w:val="en-US"/>
        </w:rPr>
        <w:t xml:space="preserve">"Trust in banks and firms’ formal credit reliance", with A. Recai Ogsem and R. Tacneng, </w:t>
      </w:r>
      <w:r>
        <w:rPr>
          <w:bCs/>
          <w:iCs/>
          <w:u w:val="single"/>
          <w:lang w:val="en-US"/>
        </w:rPr>
        <w:t>Small Business Economics</w:t>
      </w:r>
      <w:r>
        <w:rPr>
          <w:bCs/>
          <w:iCs/>
          <w:lang w:val="en-US"/>
        </w:rPr>
        <w:t>, second round.</w:t>
      </w:r>
    </w:p>
    <w:p w:rsidR="009B4371" w:rsidRDefault="00D6048B" w:rsidP="00C8467F">
      <w:pPr>
        <w:spacing w:line="360" w:lineRule="atLeast"/>
        <w:ind w:left="851" w:hanging="142"/>
        <w:rPr>
          <w:bCs/>
          <w:lang w:val="en-US"/>
        </w:rPr>
      </w:pPr>
      <w:r>
        <w:rPr>
          <w:bCs/>
          <w:iCs/>
          <w:lang w:val="en-GB"/>
        </w:rPr>
        <w:t>•</w:t>
      </w:r>
      <w:r>
        <w:rPr>
          <w:bCs/>
          <w:i/>
          <w:iCs/>
          <w:lang w:val="id-ID"/>
        </w:rPr>
        <w:t xml:space="preserve"> “</w:t>
      </w:r>
      <w:r>
        <w:rPr>
          <w:bCs/>
          <w:i/>
          <w:iCs/>
          <w:lang w:val="en-US"/>
        </w:rPr>
        <w:t>Disclosure, Ownership Structure and Bank Risk",</w:t>
      </w:r>
      <w:r>
        <w:rPr>
          <w:bCs/>
          <w:iCs/>
          <w:lang w:val="en-US"/>
        </w:rPr>
        <w:t xml:space="preserve"> with B. Setiyono, </w:t>
      </w:r>
      <w:r>
        <w:rPr>
          <w:bCs/>
          <w:iCs/>
          <w:u w:val="single"/>
          <w:lang w:val="en-US"/>
        </w:rPr>
        <w:t>Journal of Banking and Finance</w:t>
      </w:r>
      <w:r>
        <w:rPr>
          <w:bCs/>
          <w:iCs/>
          <w:lang w:val="en-US"/>
        </w:rPr>
        <w:t>, revise and resubmit.</w:t>
      </w:r>
      <w:r>
        <w:rPr>
          <w:bCs/>
          <w:lang w:val="en-US"/>
        </w:rPr>
        <w:t xml:space="preserve"> </w:t>
      </w:r>
    </w:p>
    <w:p w:rsidR="007A1DD5" w:rsidRDefault="00D14506" w:rsidP="007A1DD5">
      <w:pPr>
        <w:spacing w:line="360" w:lineRule="atLeast"/>
        <w:ind w:left="851" w:hanging="142"/>
        <w:rPr>
          <w:bCs/>
          <w:iCs/>
          <w:lang w:val="en-GB"/>
        </w:rPr>
      </w:pPr>
      <w:r>
        <w:rPr>
          <w:bCs/>
          <w:iCs/>
          <w:lang w:val="en-GB"/>
        </w:rPr>
        <w:t xml:space="preserve">• </w:t>
      </w:r>
      <w:r>
        <w:rPr>
          <w:bCs/>
          <w:i/>
          <w:iCs/>
          <w:lang w:val="en-GB"/>
        </w:rPr>
        <w:t>"</w:t>
      </w:r>
      <w:r>
        <w:rPr>
          <w:bCs/>
          <w:i/>
          <w:iCs/>
          <w:lang w:val="en-US"/>
        </w:rPr>
        <w:t>Loan loss provisions and bank lending behavior:  Do information sharing and borrowers' legal rights matter?"</w:t>
      </w:r>
      <w:r>
        <w:rPr>
          <w:bCs/>
          <w:iCs/>
          <w:lang w:val="en-US"/>
        </w:rPr>
        <w:t xml:space="preserve">, with W. Soedarmono, A. Agusman, G. Monroe and D. Gasbarro, </w:t>
      </w:r>
      <w:r>
        <w:rPr>
          <w:bCs/>
          <w:iCs/>
          <w:u w:val="single"/>
          <w:lang w:val="en-US"/>
        </w:rPr>
        <w:t>Journal of Banking and Finance</w:t>
      </w:r>
      <w:r>
        <w:rPr>
          <w:bCs/>
          <w:iCs/>
          <w:lang w:val="en-US"/>
        </w:rPr>
        <w:t>, revise and resubmit.</w:t>
      </w:r>
      <w:r>
        <w:rPr>
          <w:bCs/>
          <w:iCs/>
          <w:lang w:val="en-GB"/>
        </w:rPr>
        <w:t xml:space="preserve"> </w:t>
      </w:r>
    </w:p>
    <w:p w:rsidR="007A204B" w:rsidRPr="00E25360" w:rsidRDefault="007A204B" w:rsidP="00E25360">
      <w:pPr>
        <w:spacing w:line="360" w:lineRule="atLeast"/>
        <w:ind w:left="851" w:hanging="142"/>
        <w:rPr>
          <w:bCs/>
          <w:iCs/>
          <w:lang w:val="en-US"/>
        </w:rPr>
      </w:pPr>
      <w:r>
        <w:rPr>
          <w:lang w:val="en-GB"/>
        </w:rPr>
        <w:t>•</w:t>
      </w:r>
      <w:r>
        <w:rPr>
          <w:bCs/>
          <w:i/>
          <w:lang w:val="id-ID"/>
        </w:rPr>
        <w:t xml:space="preserve"> </w:t>
      </w:r>
      <w:r>
        <w:rPr>
          <w:bCs/>
          <w:i/>
          <w:lang w:val="en-US"/>
        </w:rPr>
        <w:t>"</w:t>
      </w:r>
      <w:r>
        <w:rPr>
          <w:i/>
          <w:lang w:val="en-US" w:eastAsia="ar-SA"/>
        </w:rPr>
        <w:t>Disclosure and Bank Loan Contracting : Evidence from Emerging Markets"</w:t>
      </w:r>
      <w:r>
        <w:rPr>
          <w:lang w:val="en-US" w:eastAsia="ar-SA"/>
        </w:rPr>
        <w:t xml:space="preserve">, with Iftekhar Hasan and Liang Song, </w:t>
      </w:r>
      <w:r>
        <w:rPr>
          <w:bCs/>
          <w:lang w:val="en-US"/>
        </w:rPr>
        <w:t>submitted and under review.</w:t>
      </w:r>
    </w:p>
    <w:p w:rsidR="00C637F6" w:rsidRPr="00FF1852" w:rsidRDefault="00C637F6" w:rsidP="00C8467F">
      <w:pPr>
        <w:spacing w:line="360" w:lineRule="atLeast"/>
        <w:ind w:left="851" w:hanging="142"/>
        <w:rPr>
          <w:bCs/>
          <w:lang w:val="en-US"/>
        </w:rPr>
      </w:pPr>
      <w:r>
        <w:rPr>
          <w:bCs/>
          <w:lang w:val="en-GB"/>
        </w:rPr>
        <w:t>•</w:t>
      </w:r>
      <w:r>
        <w:rPr>
          <w:bCs/>
          <w:i/>
          <w:lang w:val="id-ID"/>
        </w:rPr>
        <w:t xml:space="preserve"> “</w:t>
      </w:r>
      <w:r>
        <w:rPr>
          <w:bCs/>
          <w:i/>
          <w:lang w:val="en-GB"/>
        </w:rPr>
        <w:t>Bank Capital and Self-Interested Managers: Evidence from Indonesia</w:t>
      </w:r>
      <w:r>
        <w:rPr>
          <w:bCs/>
          <w:i/>
          <w:lang w:val="id-ID"/>
        </w:rPr>
        <w:t xml:space="preserve">” </w:t>
      </w:r>
      <w:r>
        <w:rPr>
          <w:bCs/>
          <w:lang w:val="id-ID"/>
        </w:rPr>
        <w:t>with Ph. Rous and W. Soedarmono,</w:t>
      </w:r>
      <w:r>
        <w:rPr>
          <w:bCs/>
          <w:lang w:val="en-US"/>
        </w:rPr>
        <w:t xml:space="preserve"> submitted and under review. </w:t>
      </w:r>
    </w:p>
    <w:p w:rsidR="00081917" w:rsidRPr="00EA5C49" w:rsidRDefault="00081917" w:rsidP="009933CD">
      <w:pPr>
        <w:spacing w:line="360" w:lineRule="atLeast"/>
        <w:ind w:left="851" w:hanging="142"/>
        <w:rPr>
          <w:bCs/>
          <w:lang w:val="en-US"/>
        </w:rPr>
      </w:pPr>
      <w:r>
        <w:rPr>
          <w:bCs/>
          <w:lang w:val="en-GB"/>
        </w:rPr>
        <w:t>•</w:t>
      </w:r>
      <w:r>
        <w:rPr>
          <w:bCs/>
          <w:i/>
          <w:lang w:val="id-ID"/>
        </w:rPr>
        <w:t>“</w:t>
      </w:r>
      <w:r>
        <w:rPr>
          <w:bCs/>
          <w:i/>
          <w:lang w:val="en-US"/>
        </w:rPr>
        <w:t>Accounting Regulations, Stock Price Informativeness, and Stock Crash Risk: Evidence from Global Banking Industry"</w:t>
      </w:r>
      <w:r>
        <w:rPr>
          <w:bCs/>
          <w:lang w:val="en-US"/>
        </w:rPr>
        <w:t>, I. Hasan, D. Johnson, L. Song, submitted and under review.</w:t>
      </w:r>
    </w:p>
    <w:p w:rsidR="00A6020E" w:rsidRPr="00940525" w:rsidRDefault="002E2D2B" w:rsidP="00A6020E">
      <w:pPr>
        <w:spacing w:line="360" w:lineRule="atLeast"/>
        <w:ind w:left="851" w:hanging="142"/>
        <w:rPr>
          <w:bCs/>
          <w:lang w:val="en-US"/>
        </w:rPr>
      </w:pPr>
      <w:r>
        <w:rPr>
          <w:bCs/>
          <w:i/>
          <w:lang w:val="en-GB"/>
        </w:rPr>
        <w:t>•</w:t>
      </w:r>
      <w:r>
        <w:rPr>
          <w:bCs/>
          <w:i/>
          <w:lang w:val="en-US"/>
        </w:rPr>
        <w:t xml:space="preserve">"Regulatory regimes associated with foreign subsidiaries and value relevance of earnings of multinational firms”, </w:t>
      </w:r>
      <w:r>
        <w:rPr>
          <w:bCs/>
          <w:lang w:val="en-US"/>
        </w:rPr>
        <w:t>with I. Hasan and I. Siraj, submitted and under review.</w:t>
      </w:r>
    </w:p>
    <w:p w:rsidR="001933E5" w:rsidRDefault="001933E5" w:rsidP="00A6020E">
      <w:pPr>
        <w:spacing w:line="360" w:lineRule="atLeast"/>
        <w:ind w:left="851" w:hanging="142"/>
        <w:rPr>
          <w:bCs/>
          <w:iCs/>
          <w:lang w:val="en-US"/>
        </w:rPr>
      </w:pPr>
      <w:r>
        <w:rPr>
          <w:bCs/>
          <w:iCs/>
          <w:lang w:val="en-US"/>
        </w:rPr>
        <w:t>• “</w:t>
      </w:r>
      <w:r>
        <w:rPr>
          <w:bCs/>
          <w:i/>
          <w:iCs/>
          <w:lang w:val="en-US"/>
        </w:rPr>
        <w:t>Trust and Financial Development: Forms of Trust and Ethnic Fractionalization Matter”</w:t>
      </w:r>
      <w:r>
        <w:rPr>
          <w:bCs/>
          <w:iCs/>
          <w:lang w:val="en-US"/>
        </w:rPr>
        <w:t>, with A. Recai Ogsem and R. Tacneng, submitted and under review.</w:t>
      </w:r>
    </w:p>
    <w:p w:rsidR="00685E20" w:rsidRDefault="00685E20" w:rsidP="00A6020E">
      <w:pPr>
        <w:spacing w:line="360" w:lineRule="atLeast"/>
        <w:ind w:left="851" w:hanging="142"/>
        <w:rPr>
          <w:bCs/>
          <w:iCs/>
          <w:lang w:val="en-US"/>
        </w:rPr>
      </w:pPr>
      <w:r>
        <w:rPr>
          <w:bCs/>
          <w:iCs/>
          <w:lang w:val="en-US"/>
        </w:rPr>
        <w:t>• “</w:t>
      </w:r>
      <w:r>
        <w:rPr>
          <w:bCs/>
          <w:i/>
          <w:iCs/>
          <w:lang w:val="en-US"/>
        </w:rPr>
        <w:t>Big data analytics application in multi-criteria decision making: the case of e-wallet adoption”</w:t>
      </w:r>
      <w:r>
        <w:rPr>
          <w:bCs/>
          <w:iCs/>
          <w:lang w:val="en-US"/>
        </w:rPr>
        <w:t>, with B. Naysary, M. Malekzadeh and R. Tacneng, submitted and under review.</w:t>
      </w:r>
    </w:p>
    <w:p w:rsidR="00D37719" w:rsidRDefault="00D37719" w:rsidP="00A6020E">
      <w:pPr>
        <w:spacing w:line="360" w:lineRule="atLeast"/>
        <w:ind w:left="851" w:hanging="142"/>
        <w:rPr>
          <w:bCs/>
          <w:iCs/>
          <w:lang w:val="en-US"/>
        </w:rPr>
      </w:pPr>
      <w:r>
        <w:rPr>
          <w:bCs/>
          <w:iCs/>
          <w:lang w:val="en-US"/>
        </w:rPr>
        <w:lastRenderedPageBreak/>
        <w:t>• “</w:t>
      </w:r>
      <w:r>
        <w:rPr>
          <w:bCs/>
          <w:i/>
          <w:iCs/>
          <w:lang w:val="en-US"/>
        </w:rPr>
        <w:t>Adoption of fintech services: role of saving and borrowing mechanisms”</w:t>
      </w:r>
      <w:r>
        <w:rPr>
          <w:bCs/>
          <w:iCs/>
          <w:lang w:val="en-US"/>
        </w:rPr>
        <w:t>, with B. Naysary and R. Tacneng, submitted and under review.</w:t>
      </w:r>
    </w:p>
    <w:p w:rsidR="00504136" w:rsidRDefault="00504136" w:rsidP="00876DA8">
      <w:pPr>
        <w:tabs>
          <w:tab w:val="left" w:pos="1701"/>
          <w:tab w:val="left" w:pos="1927"/>
        </w:tabs>
        <w:spacing w:line="360" w:lineRule="atLeast"/>
        <w:ind w:left="1440" w:hanging="297"/>
        <w:jc w:val="center"/>
        <w:outlineLvl w:val="0"/>
        <w:rPr>
          <w:rFonts w:cs="Arial"/>
          <w:iCs/>
          <w:lang w:val="en-GB"/>
        </w:rPr>
      </w:pPr>
    </w:p>
    <w:p w:rsidR="00876DA8" w:rsidRPr="006C2965" w:rsidRDefault="007A204B" w:rsidP="004E4AA9">
      <w:pPr>
        <w:tabs>
          <w:tab w:val="left" w:pos="1701"/>
          <w:tab w:val="left" w:pos="1927"/>
        </w:tabs>
        <w:spacing w:line="360" w:lineRule="atLeast"/>
        <w:ind w:left="284" w:hanging="297"/>
        <w:outlineLvl w:val="0"/>
        <w:rPr>
          <w:rFonts w:ascii="Arial" w:hAnsi="Arial" w:cs="Arial"/>
          <w:b/>
          <w:sz w:val="28"/>
          <w:u w:val="single"/>
        </w:rPr>
      </w:pPr>
      <w:r>
        <w:rPr>
          <w:rFonts w:ascii="Arial" w:hAnsi="Arial" w:cs="Arial"/>
          <w:b/>
          <w:sz w:val="28"/>
          <w:u w:val="single"/>
        </w:rPr>
        <w:t>Coordination de numéros spéciaux de revues (Guest Editor)</w:t>
      </w:r>
    </w:p>
    <w:p w:rsidR="004F6B0F" w:rsidRPr="00EA5C49" w:rsidRDefault="00876DA8" w:rsidP="00876DA8">
      <w:pPr>
        <w:tabs>
          <w:tab w:val="left" w:pos="1701"/>
          <w:tab w:val="left" w:pos="1927"/>
        </w:tabs>
        <w:spacing w:line="360" w:lineRule="atLeast"/>
        <w:ind w:left="709"/>
        <w:rPr>
          <w:iCs/>
          <w:lang w:val="en-US"/>
        </w:rPr>
      </w:pPr>
      <w:r>
        <w:rPr>
          <w:lang w:val="en-GB"/>
        </w:rPr>
        <w:t>•</w:t>
      </w:r>
      <w:r>
        <w:rPr>
          <w:iCs/>
          <w:lang w:val="en-GB"/>
        </w:rPr>
        <w:t xml:space="preserve">  “Safety and Soundness of the financial system in South East Asia”, </w:t>
      </w:r>
      <w:r>
        <w:rPr>
          <w:iCs/>
          <w:u w:val="single"/>
          <w:lang w:val="en-GB"/>
        </w:rPr>
        <w:t>Philippine Management Review</w:t>
      </w:r>
      <w:r>
        <w:rPr>
          <w:iCs/>
          <w:lang w:val="en-GB"/>
        </w:rPr>
        <w:t xml:space="preserve">, Carlos Bautista and Amine Tarazi editors, </w:t>
      </w:r>
      <w:r>
        <w:rPr>
          <w:iCs/>
          <w:lang w:val="en-US"/>
        </w:rPr>
        <w:t>vol. 18, 2011.</w:t>
      </w:r>
    </w:p>
    <w:p w:rsidR="007A204B" w:rsidRPr="00EA5C49" w:rsidRDefault="007A204B" w:rsidP="00876DA8">
      <w:pPr>
        <w:tabs>
          <w:tab w:val="left" w:pos="1701"/>
          <w:tab w:val="left" w:pos="1927"/>
        </w:tabs>
        <w:spacing w:line="360" w:lineRule="atLeast"/>
        <w:ind w:left="709"/>
        <w:rPr>
          <w:bCs/>
          <w:iCs/>
          <w:lang w:val="en-US"/>
        </w:rPr>
      </w:pPr>
      <w:r>
        <w:rPr>
          <w:lang w:val="en-GB"/>
        </w:rPr>
        <w:t>•</w:t>
      </w:r>
      <w:r>
        <w:rPr>
          <w:iCs/>
          <w:lang w:val="en-GB"/>
        </w:rPr>
        <w:t xml:space="preserve">  Special issue, </w:t>
      </w:r>
      <w:r>
        <w:rPr>
          <w:lang w:val="en-US"/>
        </w:rPr>
        <w:t>8th annual conference on Risk, Financial Stability and Banking : "</w:t>
      </w:r>
      <w:r>
        <w:rPr>
          <w:bCs/>
          <w:iCs/>
          <w:lang w:val="en-US"/>
        </w:rPr>
        <w:t>New challenges in banking and financial stability across the world</w:t>
      </w:r>
      <w:r>
        <w:rPr>
          <w:lang w:val="en-US"/>
        </w:rPr>
        <w:t xml:space="preserve">", </w:t>
      </w:r>
      <w:r>
        <w:rPr>
          <w:u w:val="single"/>
          <w:lang w:val="en-US"/>
        </w:rPr>
        <w:t>Journal of Financial Stability</w:t>
      </w:r>
      <w:r>
        <w:rPr>
          <w:lang w:val="en-US"/>
        </w:rPr>
        <w:t xml:space="preserve">, Guest Editor : Amine Tarazi, </w:t>
      </w:r>
      <w:r>
        <w:rPr>
          <w:bCs/>
          <w:iCs/>
          <w:lang w:val="en-US"/>
        </w:rPr>
        <w:t>Vol. 19, August 2015.</w:t>
      </w:r>
    </w:p>
    <w:p w:rsidR="006346EE" w:rsidRDefault="006346EE" w:rsidP="00876DA8">
      <w:pPr>
        <w:tabs>
          <w:tab w:val="left" w:pos="1701"/>
          <w:tab w:val="left" w:pos="1927"/>
        </w:tabs>
        <w:spacing w:line="360" w:lineRule="atLeast"/>
        <w:ind w:left="709"/>
        <w:rPr>
          <w:iCs/>
          <w:lang w:val="en-GB"/>
        </w:rPr>
      </w:pPr>
      <w:r>
        <w:rPr>
          <w:bCs/>
          <w:iCs/>
          <w:lang w:val="en-GB"/>
        </w:rPr>
        <w:t xml:space="preserve">• Special issue : "Islamic Banking : The International Evidence", Guest Editors : Amine Tarazi and Pejman Abedifar, </w:t>
      </w:r>
      <w:r>
        <w:rPr>
          <w:bCs/>
          <w:iCs/>
          <w:u w:val="single"/>
          <w:lang w:val="en-GB"/>
        </w:rPr>
        <w:t>Global Finance Journal</w:t>
      </w:r>
      <w:r>
        <w:rPr>
          <w:bCs/>
          <w:iCs/>
          <w:lang w:val="en-GB"/>
        </w:rPr>
        <w:t xml:space="preserve">, </w:t>
      </w:r>
      <w:r>
        <w:rPr>
          <w:bCs/>
          <w:iCs/>
          <w:lang w:val="en-US"/>
        </w:rPr>
        <w:t>published online, May 2020</w:t>
      </w:r>
      <w:r>
        <w:rPr>
          <w:bCs/>
          <w:iCs/>
          <w:lang w:val="en-GB"/>
        </w:rPr>
        <w:t>.</w:t>
      </w:r>
    </w:p>
    <w:p w:rsidR="00441124" w:rsidRPr="00876DA8" w:rsidRDefault="00441124" w:rsidP="00554555">
      <w:pPr>
        <w:tabs>
          <w:tab w:val="left" w:pos="1701"/>
          <w:tab w:val="left" w:pos="1927"/>
        </w:tabs>
        <w:spacing w:line="360" w:lineRule="atLeast"/>
        <w:rPr>
          <w:u w:val="single"/>
          <w:lang w:val="en-GB"/>
        </w:rPr>
      </w:pPr>
    </w:p>
    <w:p w:rsidR="000C4B81" w:rsidRPr="006C2965" w:rsidRDefault="004E4AA9" w:rsidP="004E4AA9">
      <w:pPr>
        <w:tabs>
          <w:tab w:val="left" w:pos="1701"/>
          <w:tab w:val="left" w:pos="1927"/>
        </w:tabs>
        <w:spacing w:line="360" w:lineRule="atLeast"/>
        <w:ind w:hanging="297"/>
        <w:outlineLvl w:val="0"/>
        <w:rPr>
          <w:rFonts w:ascii="Arial" w:hAnsi="Arial" w:cs="Arial"/>
          <w:b/>
          <w:sz w:val="28"/>
          <w:u w:val="single"/>
        </w:rPr>
      </w:pPr>
      <w:r>
        <w:rPr>
          <w:rFonts w:ascii="Arial" w:hAnsi="Arial" w:cs="Arial"/>
          <w:b/>
          <w:sz w:val="28"/>
          <w:lang w:val="en-US"/>
        </w:rPr>
        <w:tab/>
      </w:r>
      <w:r>
        <w:rPr>
          <w:rFonts w:ascii="Arial" w:hAnsi="Arial" w:cs="Arial"/>
          <w:b/>
          <w:sz w:val="28"/>
          <w:u w:val="single"/>
        </w:rPr>
        <w:t>Ouvrages</w:t>
      </w:r>
    </w:p>
    <w:p w:rsidR="000C4B81" w:rsidRDefault="000C4B81">
      <w:pPr>
        <w:tabs>
          <w:tab w:val="left" w:pos="1701"/>
          <w:tab w:val="left" w:pos="1927"/>
        </w:tabs>
        <w:spacing w:line="360" w:lineRule="atLeast"/>
        <w:ind w:left="840" w:hanging="260"/>
      </w:pPr>
      <w:r>
        <w:t>•</w:t>
      </w:r>
      <w:r>
        <w:tab/>
      </w:r>
      <w:r>
        <w:rPr>
          <w:i/>
          <w:u w:val="single"/>
        </w:rPr>
        <w:t>" Risque bancaire, déréglementation financière et réglementation prudentielle</w:t>
      </w:r>
      <w:r>
        <w:rPr>
          <w:i/>
        </w:rPr>
        <w:t xml:space="preserve"> " </w:t>
      </w:r>
      <w:r>
        <w:t>, 369 pages, PUF, 1996.</w:t>
      </w:r>
    </w:p>
    <w:p w:rsidR="000C4B81" w:rsidRDefault="000C4B81">
      <w:pPr>
        <w:tabs>
          <w:tab w:val="left" w:pos="1701"/>
          <w:tab w:val="left" w:pos="1927"/>
        </w:tabs>
        <w:spacing w:line="360" w:lineRule="atLeast"/>
        <w:ind w:left="840" w:hanging="260"/>
      </w:pPr>
      <w:r>
        <w:t>•</w:t>
      </w:r>
      <w:r>
        <w:tab/>
      </w:r>
      <w:r>
        <w:rPr>
          <w:i/>
        </w:rPr>
        <w:t xml:space="preserve">" </w:t>
      </w:r>
      <w:r>
        <w:rPr>
          <w:i/>
          <w:u w:val="single"/>
        </w:rPr>
        <w:t>La Bourse</w:t>
      </w:r>
      <w:r>
        <w:rPr>
          <w:i/>
        </w:rPr>
        <w:t xml:space="preserve"> " </w:t>
      </w:r>
      <w:r>
        <w:t xml:space="preserve">en collaboration avec D. Goyeau, 128 pages, coll. « Repères », éditions La Découverte, Mai 2001, Février 2006. </w:t>
      </w:r>
    </w:p>
    <w:p w:rsidR="000C4B81" w:rsidRDefault="000C4B81">
      <w:pPr>
        <w:tabs>
          <w:tab w:val="left" w:pos="1701"/>
          <w:tab w:val="left" w:pos="1927"/>
        </w:tabs>
        <w:spacing w:line="360" w:lineRule="atLeast"/>
        <w:ind w:left="840" w:hanging="260"/>
      </w:pPr>
      <w:r>
        <w:t>•</w:t>
      </w:r>
      <w:r>
        <w:tab/>
      </w:r>
      <w:r>
        <w:rPr>
          <w:i/>
        </w:rPr>
        <w:t xml:space="preserve">" </w:t>
      </w:r>
      <w:r>
        <w:rPr>
          <w:i/>
          <w:u w:val="single"/>
        </w:rPr>
        <w:t>Finance</w:t>
      </w:r>
      <w:r>
        <w:rPr>
          <w:i/>
        </w:rPr>
        <w:t xml:space="preserve"> " </w:t>
      </w:r>
      <w:r>
        <w:t>en collaboration avec D. Goyeau, 560 pages, Manuel BU Limoges, 2003/2008/2009.</w:t>
      </w:r>
    </w:p>
    <w:p w:rsidR="00180333" w:rsidRPr="00180333" w:rsidRDefault="00180333" w:rsidP="00180333">
      <w:pPr>
        <w:tabs>
          <w:tab w:val="left" w:pos="1701"/>
          <w:tab w:val="left" w:pos="1927"/>
        </w:tabs>
        <w:spacing w:line="360" w:lineRule="atLeast"/>
        <w:ind w:left="840" w:hanging="260"/>
        <w:rPr>
          <w:bCs/>
          <w:lang w:val="en-US"/>
        </w:rPr>
      </w:pPr>
      <w:r>
        <w:rPr>
          <w:bCs/>
          <w:lang w:val="en-US"/>
        </w:rPr>
        <w:t xml:space="preserve">• </w:t>
      </w:r>
      <w:r>
        <w:rPr>
          <w:bCs/>
          <w:i/>
          <w:iCs/>
          <w:u w:val="single"/>
          <w:lang w:val="en-US"/>
        </w:rPr>
        <w:t>“The Digital Finance Era : a Journey Through Fintech and Cryptocurrency”</w:t>
      </w:r>
      <w:r>
        <w:rPr>
          <w:bCs/>
          <w:lang w:val="en-US"/>
        </w:rPr>
        <w:t xml:space="preserve">, with Babak Naysary, 170 pages, Palgrave Macmillan, 2024. </w:t>
      </w:r>
    </w:p>
    <w:p w:rsidR="00524DB8" w:rsidRPr="00180333" w:rsidRDefault="00524DB8" w:rsidP="00F93931">
      <w:pPr>
        <w:tabs>
          <w:tab w:val="left" w:pos="1701"/>
          <w:tab w:val="left" w:pos="1927"/>
        </w:tabs>
        <w:spacing w:line="360" w:lineRule="atLeast"/>
        <w:outlineLvl w:val="0"/>
        <w:rPr>
          <w:b/>
          <w:sz w:val="28"/>
          <w:lang w:val="en-US"/>
        </w:rPr>
      </w:pPr>
    </w:p>
    <w:p w:rsidR="000C4B81" w:rsidRPr="006C2965" w:rsidRDefault="000C4B81" w:rsidP="004E4AA9">
      <w:pPr>
        <w:tabs>
          <w:tab w:val="left" w:pos="1927"/>
        </w:tabs>
        <w:spacing w:line="360" w:lineRule="atLeast"/>
        <w:outlineLvl w:val="0"/>
        <w:rPr>
          <w:rFonts w:ascii="Arial" w:hAnsi="Arial" w:cs="Arial"/>
          <w:b/>
          <w:sz w:val="28"/>
          <w:u w:val="single"/>
        </w:rPr>
      </w:pPr>
      <w:r>
        <w:rPr>
          <w:rFonts w:ascii="Arial" w:hAnsi="Arial" w:cs="Arial"/>
          <w:b/>
          <w:sz w:val="28"/>
          <w:u w:val="single"/>
        </w:rPr>
        <w:t>Autres publications</w:t>
      </w:r>
    </w:p>
    <w:p w:rsidR="000C4B81" w:rsidRDefault="000C4B81">
      <w:pPr>
        <w:tabs>
          <w:tab w:val="left" w:pos="1701"/>
          <w:tab w:val="left" w:pos="1927"/>
        </w:tabs>
        <w:spacing w:line="360" w:lineRule="atLeast"/>
        <w:ind w:left="840" w:hanging="260"/>
      </w:pPr>
      <w:r>
        <w:t>•</w:t>
      </w:r>
      <w:r>
        <w:tab/>
      </w:r>
      <w:r>
        <w:rPr>
          <w:i/>
        </w:rPr>
        <w:t>" Mutations et fragilisation des systèmes financiers"</w:t>
      </w:r>
      <w:r>
        <w:t xml:space="preserve">  chapitre 6 (35 pages) in </w:t>
      </w:r>
      <w:r>
        <w:rPr>
          <w:u w:val="single"/>
        </w:rPr>
        <w:t>Problèmes Économiques et Sociaux Contemporains</w:t>
      </w:r>
      <w:r>
        <w:t>, Cujas, 1998.</w:t>
      </w:r>
    </w:p>
    <w:p w:rsidR="000C4B81" w:rsidRDefault="000C4B81">
      <w:pPr>
        <w:tabs>
          <w:tab w:val="left" w:pos="1701"/>
          <w:tab w:val="left" w:pos="1927"/>
        </w:tabs>
        <w:spacing w:line="360" w:lineRule="atLeast"/>
        <w:ind w:left="840" w:hanging="260"/>
      </w:pPr>
      <w:r>
        <w:t>•</w:t>
      </w:r>
      <w:r>
        <w:tab/>
      </w:r>
      <w:r>
        <w:rPr>
          <w:i/>
        </w:rPr>
        <w:t xml:space="preserve">" </w:t>
      </w:r>
      <w:r>
        <w:rPr>
          <w:i/>
          <w:u w:val="single"/>
        </w:rPr>
        <w:t>Théorie Financière : systèmes et marchés financiers</w:t>
      </w:r>
      <w:r>
        <w:rPr>
          <w:i/>
        </w:rPr>
        <w:t>"</w:t>
      </w:r>
      <w:r>
        <w:t xml:space="preserve">  en collaboration avec D. Goyeau, ouvrage réalisé pour le CNED (enseignement à distance), 340 pages, 1999, 2005.</w:t>
      </w:r>
    </w:p>
    <w:p w:rsidR="000C4B81" w:rsidRDefault="000C4B81">
      <w:pPr>
        <w:tabs>
          <w:tab w:val="left" w:pos="1701"/>
          <w:tab w:val="left" w:pos="1927"/>
        </w:tabs>
        <w:spacing w:line="360" w:lineRule="atLeast"/>
        <w:ind w:left="840" w:hanging="260"/>
      </w:pPr>
      <w:r>
        <w:t>•</w:t>
      </w:r>
      <w:r>
        <w:tab/>
      </w:r>
      <w:r>
        <w:rPr>
          <w:i/>
        </w:rPr>
        <w:t xml:space="preserve">" La Bourse " </w:t>
      </w:r>
      <w:r>
        <w:t xml:space="preserve">en collaboration avec D. Goyeau, 24 pages, </w:t>
      </w:r>
      <w:r>
        <w:rPr>
          <w:u w:val="single"/>
        </w:rPr>
        <w:t>Encyclopedia Universalis</w:t>
      </w:r>
      <w:r>
        <w:t xml:space="preserve">, 2002, 2004, 2007, 2014.  </w:t>
      </w:r>
    </w:p>
    <w:p w:rsidR="000C4B81" w:rsidRDefault="000C4B81">
      <w:pPr>
        <w:tabs>
          <w:tab w:val="left" w:pos="1701"/>
          <w:tab w:val="left" w:pos="1927"/>
        </w:tabs>
        <w:spacing w:line="360" w:lineRule="atLeast"/>
        <w:ind w:left="840" w:hanging="260"/>
      </w:pPr>
      <w:r>
        <w:t>•</w:t>
      </w:r>
      <w:r>
        <w:tab/>
      </w:r>
      <w:r>
        <w:rPr>
          <w:i/>
          <w:iCs/>
        </w:rPr>
        <w:t xml:space="preserve">“A quoi sert la bourse ? » , </w:t>
      </w:r>
      <w:r>
        <w:t xml:space="preserve">en collaboration avec D. Goyeau, in </w:t>
      </w:r>
      <w:r>
        <w:rPr>
          <w:u w:val="single"/>
        </w:rPr>
        <w:t>Les Désordres de la Finance</w:t>
      </w:r>
      <w:r>
        <w:t>, D. Plihon Ed., Le tour du sujet Universalis, 2004.</w:t>
      </w:r>
    </w:p>
    <w:p w:rsidR="000C4B81" w:rsidRDefault="000C4B81">
      <w:pPr>
        <w:tabs>
          <w:tab w:val="left" w:pos="1701"/>
          <w:tab w:val="left" w:pos="1927"/>
        </w:tabs>
        <w:spacing w:line="360" w:lineRule="atLeast"/>
        <w:ind w:left="840" w:hanging="260"/>
      </w:pPr>
      <w:r>
        <w:t>•</w:t>
      </w:r>
      <w:r>
        <w:tab/>
      </w:r>
      <w:r>
        <w:rPr>
          <w:i/>
          <w:iCs/>
        </w:rPr>
        <w:t xml:space="preserve">“Les produits dérivés » , </w:t>
      </w:r>
      <w:r>
        <w:t xml:space="preserve">en collaboration avec D. Goyeau, in </w:t>
      </w:r>
      <w:r>
        <w:rPr>
          <w:u w:val="single"/>
        </w:rPr>
        <w:t>Les Désordres de la Finance</w:t>
      </w:r>
      <w:r>
        <w:t>, D. Plihon Ed., Le tour du sujet Universalis, 2004.</w:t>
      </w:r>
    </w:p>
    <w:p w:rsidR="000C4B81" w:rsidRDefault="000C4B81">
      <w:pPr>
        <w:tabs>
          <w:tab w:val="left" w:pos="1701"/>
          <w:tab w:val="left" w:pos="1927"/>
        </w:tabs>
        <w:spacing w:line="360" w:lineRule="atLeast"/>
        <w:ind w:left="840" w:hanging="260"/>
      </w:pPr>
      <w:r>
        <w:rPr>
          <w:sz w:val="22"/>
        </w:rPr>
        <w:t>•</w:t>
      </w:r>
      <w:r>
        <w:rPr>
          <w:sz w:val="22"/>
        </w:rPr>
        <w:tab/>
      </w:r>
      <w:r>
        <w:rPr>
          <w:i/>
          <w:iCs/>
          <w:sz w:val="22"/>
        </w:rPr>
        <w:t>“</w:t>
      </w:r>
      <w:r>
        <w:rPr>
          <w:i/>
          <w:iCs/>
        </w:rPr>
        <w:t xml:space="preserve">  </w:t>
      </w:r>
      <w:r>
        <w:rPr>
          <w:i/>
          <w:iCs/>
          <w:szCs w:val="28"/>
        </w:rPr>
        <w:t>Concurrence et mutations des marchés financiers en Europe</w:t>
      </w:r>
      <w:r>
        <w:rPr>
          <w:i/>
          <w:iCs/>
        </w:rPr>
        <w:t>»</w:t>
      </w:r>
      <w:r>
        <w:t xml:space="preserve"> , en collaboration avec D. Goyeau,  in </w:t>
      </w:r>
      <w:r>
        <w:rPr>
          <w:u w:val="single"/>
        </w:rPr>
        <w:t>Cahiers français</w:t>
      </w:r>
      <w:r>
        <w:t>, La Documentation française, n° 331, mars-avril 2006.</w:t>
      </w:r>
    </w:p>
    <w:p w:rsidR="00E05BA2" w:rsidRPr="00FB5DBD" w:rsidRDefault="00993B06" w:rsidP="00FB5DBD">
      <w:pPr>
        <w:tabs>
          <w:tab w:val="left" w:pos="1701"/>
          <w:tab w:val="left" w:pos="1927"/>
        </w:tabs>
        <w:spacing w:line="360" w:lineRule="atLeast"/>
        <w:ind w:left="840" w:hanging="260"/>
      </w:pPr>
      <w:r>
        <w:rPr>
          <w:sz w:val="22"/>
        </w:rPr>
        <w:t>•</w:t>
      </w:r>
      <w:r>
        <w:rPr>
          <w:sz w:val="22"/>
        </w:rPr>
        <w:tab/>
      </w:r>
      <w:r>
        <w:rPr>
          <w:i/>
          <w:iCs/>
          <w:sz w:val="22"/>
        </w:rPr>
        <w:t>“</w:t>
      </w:r>
      <w:r>
        <w:rPr>
          <w:i/>
          <w:iCs/>
        </w:rPr>
        <w:t xml:space="preserve">  </w:t>
      </w:r>
      <w:r>
        <w:rPr>
          <w:i/>
          <w:iCs/>
          <w:szCs w:val="28"/>
        </w:rPr>
        <w:t>Qu'est ce que la Bourse?</w:t>
      </w:r>
      <w:r>
        <w:rPr>
          <w:i/>
          <w:iCs/>
        </w:rPr>
        <w:t>»</w:t>
      </w:r>
      <w:r>
        <w:t xml:space="preserve"> , en collaboration avec D. Goyeau,  in </w:t>
      </w:r>
      <w:r>
        <w:rPr>
          <w:u w:val="single"/>
        </w:rPr>
        <w:t>Cahiers français</w:t>
      </w:r>
      <w:r>
        <w:t xml:space="preserve">, La Documentation française, n° 361, mars-avril 2011. </w:t>
      </w:r>
    </w:p>
    <w:p w:rsidR="004D7227" w:rsidRDefault="004D7227">
      <w:pPr>
        <w:tabs>
          <w:tab w:val="left" w:pos="1701"/>
          <w:tab w:val="left" w:pos="1927"/>
        </w:tabs>
        <w:spacing w:line="360" w:lineRule="atLeast"/>
        <w:ind w:left="840" w:hanging="260"/>
      </w:pPr>
      <w:r>
        <w:rPr>
          <w:sz w:val="22"/>
        </w:rPr>
        <w:t>•</w:t>
      </w:r>
      <w:r>
        <w:rPr>
          <w:sz w:val="22"/>
        </w:rPr>
        <w:tab/>
      </w:r>
      <w:r>
        <w:rPr>
          <w:i/>
          <w:iCs/>
          <w:sz w:val="22"/>
        </w:rPr>
        <w:t>“</w:t>
      </w:r>
      <w:r>
        <w:rPr>
          <w:i/>
          <w:iCs/>
        </w:rPr>
        <w:t xml:space="preserve"> </w:t>
      </w:r>
      <w:r>
        <w:rPr>
          <w:bCs/>
          <w:i/>
          <w:iCs/>
          <w:szCs w:val="28"/>
        </w:rPr>
        <w:t>Les places financières mondiales : quelles évolutions ?</w:t>
      </w:r>
      <w:r>
        <w:rPr>
          <w:i/>
          <w:iCs/>
        </w:rPr>
        <w:t>»</w:t>
      </w:r>
      <w:r>
        <w:t> , en collaboration avec D. Goyeau, in</w:t>
      </w:r>
      <w:r>
        <w:rPr>
          <w:b/>
        </w:rPr>
        <w:t xml:space="preserve"> </w:t>
      </w:r>
      <w:r>
        <w:rPr>
          <w:u w:val="single"/>
        </w:rPr>
        <w:t>Cahiers français</w:t>
      </w:r>
      <w:r>
        <w:t xml:space="preserve">, La Documentation française, n° 375, juillet-août 2013. </w:t>
      </w:r>
    </w:p>
    <w:p w:rsidR="00A0004F" w:rsidRPr="00FF5A56" w:rsidRDefault="00B12933" w:rsidP="00A0004F">
      <w:pPr>
        <w:tabs>
          <w:tab w:val="left" w:pos="1701"/>
          <w:tab w:val="left" w:pos="1927"/>
        </w:tabs>
        <w:spacing w:line="360" w:lineRule="atLeast"/>
        <w:ind w:left="840" w:hanging="260"/>
        <w:rPr>
          <w:bCs/>
          <w:iCs/>
        </w:rPr>
      </w:pPr>
      <w:r>
        <w:rPr>
          <w:bCs/>
          <w:iCs/>
        </w:rPr>
        <w:lastRenderedPageBreak/>
        <w:t>• “</w:t>
      </w:r>
      <w:r>
        <w:rPr>
          <w:bCs/>
          <w:i/>
          <w:iCs/>
        </w:rPr>
        <w:t>Ex ante capital position, changes in the different components of regulatory capital and bank risk</w:t>
      </w:r>
      <w:r>
        <w:rPr>
          <w:bCs/>
          <w:iCs/>
        </w:rPr>
        <w:t xml:space="preserve">”, with B. Camara and L. Lepetit, reproduction d'un article publié dans Applied Economics dans </w:t>
      </w:r>
      <w:r>
        <w:rPr>
          <w:bCs/>
          <w:iCs/>
          <w:u w:val="single"/>
        </w:rPr>
        <w:t>Débats Economiques et Financiers</w:t>
      </w:r>
      <w:r>
        <w:rPr>
          <w:bCs/>
          <w:iCs/>
        </w:rPr>
        <w:t>, ACPR, Banque de France, Juin 2013.</w:t>
      </w:r>
    </w:p>
    <w:p w:rsidR="00B47DB9" w:rsidRDefault="00B47DB9" w:rsidP="00A0004F">
      <w:pPr>
        <w:tabs>
          <w:tab w:val="left" w:pos="1701"/>
          <w:tab w:val="left" w:pos="1927"/>
        </w:tabs>
        <w:spacing w:line="360" w:lineRule="atLeast"/>
        <w:ind w:left="840" w:hanging="260"/>
        <w:rPr>
          <w:bCs/>
          <w:iCs/>
          <w:lang w:val="en-GB"/>
        </w:rPr>
      </w:pPr>
      <w:r>
        <w:rPr>
          <w:bCs/>
          <w:iCs/>
        </w:rPr>
        <w:t xml:space="preserve"> </w:t>
      </w:r>
      <w:r>
        <w:rPr>
          <w:bCs/>
          <w:iCs/>
          <w:lang w:val="en-GB"/>
        </w:rPr>
        <w:t>•</w:t>
      </w:r>
      <w:r>
        <w:rPr>
          <w:bCs/>
          <w:i/>
          <w:iCs/>
          <w:lang w:val="en-GB"/>
        </w:rPr>
        <w:t>"Banking in France"</w:t>
      </w:r>
      <w:r>
        <w:rPr>
          <w:bCs/>
          <w:iCs/>
          <w:lang w:val="en-GB"/>
        </w:rPr>
        <w:t xml:space="preserve">, with L. Lepetit and C. Meslier, in </w:t>
      </w:r>
      <w:r>
        <w:rPr>
          <w:bCs/>
          <w:iCs/>
          <w:u w:val="single"/>
          <w:lang w:val="en-GB"/>
        </w:rPr>
        <w:t>The Palgrave Handbook of European Banking</w:t>
      </w:r>
      <w:r>
        <w:rPr>
          <w:bCs/>
          <w:iCs/>
          <w:lang w:val="en-GB"/>
        </w:rPr>
        <w:t>, T. Beck, B. Casu Editors, Palgrave Macmillan, December 2016.</w:t>
      </w:r>
    </w:p>
    <w:p w:rsidR="00250CF8" w:rsidRPr="00250CF8" w:rsidRDefault="00250CF8" w:rsidP="00250CF8">
      <w:pPr>
        <w:tabs>
          <w:tab w:val="left" w:pos="1701"/>
          <w:tab w:val="left" w:pos="1927"/>
        </w:tabs>
        <w:spacing w:line="360" w:lineRule="atLeast"/>
        <w:ind w:left="840" w:hanging="260"/>
        <w:rPr>
          <w:bCs/>
          <w:iCs/>
          <w:lang w:val="en-US"/>
        </w:rPr>
      </w:pPr>
      <w:r>
        <w:rPr>
          <w:bCs/>
          <w:iCs/>
          <w:lang w:val="en-US"/>
        </w:rPr>
        <w:t>• “</w:t>
      </w:r>
      <w:r>
        <w:rPr>
          <w:bCs/>
          <w:i/>
          <w:iCs/>
          <w:lang w:val="en-US"/>
        </w:rPr>
        <w:t xml:space="preserve">Interactions of bank capital and liquidity standards within the Basel 3 framework : a literature review </w:t>
      </w:r>
      <w:r>
        <w:rPr>
          <w:bCs/>
          <w:iCs/>
          <w:lang w:val="en-US"/>
        </w:rPr>
        <w:t xml:space="preserve">”, with L. Clerc, C. Lubochinsky, and C. Pouvelle, </w:t>
      </w:r>
      <w:r>
        <w:rPr>
          <w:bCs/>
          <w:iCs/>
          <w:u w:val="single"/>
          <w:lang w:val="en-US"/>
        </w:rPr>
        <w:t>Débats Economiques et Financiers</w:t>
      </w:r>
      <w:r>
        <w:rPr>
          <w:bCs/>
          <w:iCs/>
          <w:lang w:val="en-US"/>
        </w:rPr>
        <w:t>, n°38, ACPR, Banque de France, May 2022.</w:t>
      </w:r>
    </w:p>
    <w:p w:rsidR="00FF5A56" w:rsidRDefault="00FF5A56" w:rsidP="00250CF8">
      <w:pPr>
        <w:tabs>
          <w:tab w:val="left" w:pos="1701"/>
          <w:tab w:val="left" w:pos="1927"/>
        </w:tabs>
        <w:spacing w:line="360" w:lineRule="atLeast"/>
        <w:rPr>
          <w:bCs/>
          <w:iCs/>
          <w:lang w:val="en-US"/>
        </w:rPr>
      </w:pPr>
    </w:p>
    <w:p w:rsidR="00050E4A" w:rsidRPr="00EA5C49" w:rsidRDefault="00050E4A">
      <w:pPr>
        <w:tabs>
          <w:tab w:val="left" w:pos="1701"/>
          <w:tab w:val="left" w:pos="1927"/>
        </w:tabs>
        <w:spacing w:line="360" w:lineRule="atLeast"/>
        <w:rPr>
          <w:lang w:val="en-US"/>
        </w:rPr>
      </w:pPr>
    </w:p>
    <w:p w:rsidR="006C2965" w:rsidRPr="006C2965" w:rsidRDefault="006C2965" w:rsidP="006C2965">
      <w:pPr>
        <w:tabs>
          <w:tab w:val="left" w:pos="1701"/>
          <w:tab w:val="right" w:pos="9639"/>
        </w:tabs>
        <w:spacing w:line="360" w:lineRule="atLeast"/>
        <w:ind w:left="56"/>
        <w:outlineLvl w:val="0"/>
        <w:rPr>
          <w:rFonts w:ascii="Arial" w:hAnsi="Arial" w:cs="Arial"/>
          <w:b/>
          <w:u w:val="single"/>
        </w:rPr>
      </w:pPr>
      <w:r>
        <w:rPr>
          <w:rFonts w:ascii="Arial" w:hAnsi="Arial" w:cs="Arial"/>
          <w:b/>
          <w:sz w:val="28"/>
          <w:u w:val="single"/>
        </w:rPr>
        <w:t>Documents de travail non publiés et travaux en cours de réalisation</w:t>
      </w:r>
    </w:p>
    <w:p w:rsidR="006C2965" w:rsidRPr="00B936B1" w:rsidRDefault="006C2965" w:rsidP="006C2965">
      <w:pPr>
        <w:tabs>
          <w:tab w:val="right" w:pos="9620"/>
        </w:tabs>
        <w:spacing w:line="360" w:lineRule="atLeast"/>
        <w:ind w:left="850" w:hanging="280"/>
      </w:pPr>
      <w:r>
        <w:t>•</w:t>
      </w:r>
      <w:r>
        <w:tab/>
      </w:r>
      <w:r>
        <w:rPr>
          <w:i/>
        </w:rPr>
        <w:t>" Quelques facteurs explicatifs de la baisse et des mutations structu</w:t>
      </w:r>
      <w:r>
        <w:rPr>
          <w:i/>
        </w:rPr>
        <w:softHyphen/>
        <w:t>relles de l'épargne des ménages "</w:t>
      </w:r>
      <w:r>
        <w:t xml:space="preserve">, </w:t>
      </w:r>
      <w:r>
        <w:rPr>
          <w:u w:val="single"/>
        </w:rPr>
        <w:t>CRMM</w:t>
      </w:r>
      <w:r>
        <w:t>, Université de limoges, Juin 1987.</w:t>
      </w:r>
    </w:p>
    <w:p w:rsidR="006C2965" w:rsidRPr="00EA5C49" w:rsidRDefault="006C2965" w:rsidP="006C2965">
      <w:pPr>
        <w:tabs>
          <w:tab w:val="right" w:pos="9639"/>
        </w:tabs>
        <w:spacing w:line="360" w:lineRule="atLeast"/>
        <w:ind w:left="850" w:hanging="280"/>
        <w:rPr>
          <w:lang w:val="en-US"/>
        </w:rPr>
      </w:pPr>
      <w:r>
        <w:rPr>
          <w:lang w:val="en-US"/>
        </w:rPr>
        <w:t>•</w:t>
      </w:r>
      <w:r>
        <w:rPr>
          <w:lang w:val="en-US"/>
        </w:rPr>
        <w:tab/>
      </w:r>
      <w:r>
        <w:rPr>
          <w:i/>
          <w:lang w:val="en-US"/>
        </w:rPr>
        <w:t>" On some uses of the concept of Bond Duration "</w:t>
      </w:r>
      <w:r>
        <w:rPr>
          <w:lang w:val="en-US"/>
        </w:rPr>
        <w:t xml:space="preserve"> , </w:t>
      </w:r>
      <w:r>
        <w:rPr>
          <w:u w:val="single"/>
          <w:lang w:val="en-US"/>
        </w:rPr>
        <w:t>University of Birmingham</w:t>
      </w:r>
      <w:r>
        <w:rPr>
          <w:lang w:val="en-US"/>
        </w:rPr>
        <w:t>, UK, Oct. 1988.</w:t>
      </w:r>
    </w:p>
    <w:p w:rsidR="006C2965" w:rsidRPr="00B936B1" w:rsidRDefault="006C2965" w:rsidP="006C2965">
      <w:pPr>
        <w:tabs>
          <w:tab w:val="right" w:pos="9639"/>
        </w:tabs>
        <w:spacing w:line="360" w:lineRule="atLeast"/>
        <w:ind w:left="840" w:hanging="280"/>
      </w:pPr>
      <w:r>
        <w:t>•</w:t>
      </w:r>
      <w:r>
        <w:tab/>
      </w:r>
      <w:r>
        <w:rPr>
          <w:i/>
        </w:rPr>
        <w:t>" Trois essais autour de la question de la volatilité "</w:t>
      </w:r>
      <w:r>
        <w:t xml:space="preserve">, </w:t>
      </w:r>
      <w:r>
        <w:rPr>
          <w:u w:val="single"/>
        </w:rPr>
        <w:t>CRMM</w:t>
      </w:r>
      <w:r>
        <w:t>, Université de Limoges,  Nov. 1988.</w:t>
      </w:r>
    </w:p>
    <w:p w:rsidR="006C2965" w:rsidRPr="00B936B1" w:rsidRDefault="006C2965" w:rsidP="006C2965">
      <w:pPr>
        <w:tabs>
          <w:tab w:val="left" w:pos="1701"/>
          <w:tab w:val="left" w:pos="1927"/>
        </w:tabs>
        <w:spacing w:line="360" w:lineRule="atLeast"/>
        <w:ind w:left="850" w:hanging="300"/>
      </w:pPr>
      <w:r>
        <w:t>•</w:t>
      </w:r>
      <w:r>
        <w:tab/>
      </w:r>
      <w:r>
        <w:rPr>
          <w:i/>
        </w:rPr>
        <w:t>" Volatilité des taux d'intérêt : comparaison internationale"</w:t>
      </w:r>
      <w:r>
        <w:t xml:space="preserve">, document de travail en collaboration avec  A. Robin, </w:t>
      </w:r>
      <w:r>
        <w:rPr>
          <w:u w:val="single"/>
        </w:rPr>
        <w:t>CRMM</w:t>
      </w:r>
      <w:r>
        <w:t xml:space="preserve">, Université de Limoges, Juil.1989. </w:t>
      </w:r>
    </w:p>
    <w:p w:rsidR="006C2965" w:rsidRPr="00B936B1" w:rsidRDefault="006C2965" w:rsidP="006C2965">
      <w:pPr>
        <w:tabs>
          <w:tab w:val="left" w:pos="1701"/>
          <w:tab w:val="left" w:pos="1927"/>
        </w:tabs>
        <w:spacing w:line="360" w:lineRule="atLeast"/>
        <w:ind w:left="840" w:hanging="280"/>
      </w:pPr>
      <w:r>
        <w:t>•</w:t>
      </w:r>
      <w:r>
        <w:tab/>
      </w:r>
      <w:r>
        <w:rPr>
          <w:i/>
        </w:rPr>
        <w:t>" L'utilisation de la duration dans l'appréciation du risque d'intérêt ban</w:t>
      </w:r>
      <w:r>
        <w:rPr>
          <w:i/>
        </w:rPr>
        <w:softHyphen/>
        <w:t>caire "</w:t>
      </w:r>
      <w:r>
        <w:t xml:space="preserve">, document de travail, </w:t>
      </w:r>
      <w:r>
        <w:rPr>
          <w:u w:val="single"/>
        </w:rPr>
        <w:t>CRMM</w:t>
      </w:r>
      <w:r>
        <w:t>, Université de Limoges, Avril 1990.</w:t>
      </w:r>
    </w:p>
    <w:p w:rsidR="006C2965" w:rsidRPr="00B936B1" w:rsidRDefault="006C2965" w:rsidP="006C2965">
      <w:pPr>
        <w:tabs>
          <w:tab w:val="right" w:pos="9639"/>
        </w:tabs>
        <w:spacing w:line="360" w:lineRule="atLeast"/>
        <w:ind w:left="840" w:hanging="280"/>
      </w:pPr>
      <w:r>
        <w:t>•</w:t>
      </w:r>
      <w:r>
        <w:tab/>
      </w:r>
      <w:r>
        <w:rPr>
          <w:i/>
        </w:rPr>
        <w:t>" Évaluation de la fragilité bancaire en Europe"</w:t>
      </w:r>
      <w:r>
        <w:t xml:space="preserve">   document de travail en collaboration avec D. Goyeau, </w:t>
      </w:r>
      <w:r>
        <w:rPr>
          <w:u w:val="single"/>
        </w:rPr>
        <w:t>CRMM</w:t>
      </w:r>
      <w:r>
        <w:t>, Université de Limoges, Oct. 1990.</w:t>
      </w:r>
    </w:p>
    <w:p w:rsidR="006C2965" w:rsidRPr="00B936B1" w:rsidRDefault="006C2965" w:rsidP="006C2965">
      <w:pPr>
        <w:tabs>
          <w:tab w:val="right" w:pos="9639"/>
        </w:tabs>
        <w:spacing w:line="360" w:lineRule="atLeast"/>
        <w:ind w:left="840" w:hanging="280"/>
      </w:pPr>
      <w:r>
        <w:t>•</w:t>
      </w:r>
      <w:r>
        <w:tab/>
      </w:r>
      <w:r>
        <w:rPr>
          <w:i/>
        </w:rPr>
        <w:t>" Risque bancaire, déréglementation financière et réglementation prudentielle : une analyse en termes d'espérance-variance "</w:t>
      </w:r>
      <w:r>
        <w:t xml:space="preserve"> </w:t>
      </w:r>
      <w:r>
        <w:rPr>
          <w:u w:val="single"/>
        </w:rPr>
        <w:t>Thèse de doctorat nouveau régime</w:t>
      </w:r>
      <w:r>
        <w:t>, sous la direction de M. le Professeur C. Bordes, Université de Limoges, février 1992.</w:t>
      </w:r>
    </w:p>
    <w:p w:rsidR="006C2965" w:rsidRPr="00EA5C49" w:rsidRDefault="006C2965" w:rsidP="006C2965">
      <w:pPr>
        <w:tabs>
          <w:tab w:val="left" w:pos="1701"/>
          <w:tab w:val="left" w:pos="1927"/>
        </w:tabs>
        <w:spacing w:line="360" w:lineRule="atLeast"/>
        <w:ind w:left="840" w:hanging="280"/>
        <w:rPr>
          <w:lang w:val="en-US"/>
        </w:rPr>
      </w:pPr>
      <w:r>
        <w:rPr>
          <w:lang w:val="en-US"/>
        </w:rPr>
        <w:t>•</w:t>
      </w:r>
      <w:r>
        <w:rPr>
          <w:lang w:val="en-US"/>
        </w:rPr>
        <w:tab/>
      </w:r>
      <w:r>
        <w:rPr>
          <w:i/>
          <w:lang w:val="en-US"/>
        </w:rPr>
        <w:t>" An Empirical Investigation on Bank Risk in Europe "</w:t>
      </w:r>
      <w:r>
        <w:rPr>
          <w:lang w:val="en-US"/>
        </w:rPr>
        <w:t xml:space="preserve"> </w:t>
      </w:r>
      <w:r>
        <w:rPr>
          <w:u w:val="single"/>
          <w:lang w:val="en-US"/>
        </w:rPr>
        <w:t>International Finance</w:t>
      </w:r>
      <w:r>
        <w:rPr>
          <w:lang w:val="en-US"/>
        </w:rPr>
        <w:t xml:space="preserve"> </w:t>
      </w:r>
      <w:r>
        <w:rPr>
          <w:u w:val="single"/>
          <w:lang w:val="en-US"/>
        </w:rPr>
        <w:t>Group</w:t>
      </w:r>
      <w:r>
        <w:rPr>
          <w:lang w:val="en-US"/>
        </w:rPr>
        <w:t>, University of Birmingham, Oct. 1992.</w:t>
      </w:r>
    </w:p>
    <w:p w:rsidR="006C2965" w:rsidRPr="00B936B1" w:rsidRDefault="006C2965" w:rsidP="006C2965">
      <w:pPr>
        <w:tabs>
          <w:tab w:val="left" w:pos="1701"/>
          <w:tab w:val="left" w:pos="1927"/>
        </w:tabs>
        <w:spacing w:line="360" w:lineRule="atLeast"/>
        <w:ind w:left="840" w:hanging="280"/>
      </w:pPr>
      <w:r>
        <w:t>•</w:t>
      </w:r>
      <w:r>
        <w:tab/>
      </w:r>
      <w:r>
        <w:rPr>
          <w:i/>
        </w:rPr>
        <w:t>" Déréglementation financière et adaptation du système bancaire français"</w:t>
      </w:r>
      <w:r>
        <w:t xml:space="preserve"> en collaboration avec C. Bordes (Université de Bordeaux I et Banque de France) et J. Melitz (INSEE et HEC), </w:t>
      </w:r>
      <w:r>
        <w:rPr>
          <w:u w:val="single"/>
        </w:rPr>
        <w:t>CRMM</w:t>
      </w:r>
      <w:r>
        <w:t>, Université de Limoges, juin 1992.</w:t>
      </w:r>
    </w:p>
    <w:p w:rsidR="006C2965" w:rsidRPr="00B936B1" w:rsidRDefault="006C2965" w:rsidP="006C2965">
      <w:pPr>
        <w:tabs>
          <w:tab w:val="left" w:pos="1701"/>
          <w:tab w:val="left" w:pos="1927"/>
        </w:tabs>
        <w:spacing w:line="360" w:lineRule="atLeast"/>
        <w:ind w:left="840" w:hanging="280"/>
      </w:pPr>
      <w:r>
        <w:t>•</w:t>
      </w:r>
      <w:r>
        <w:tab/>
      </w:r>
      <w:r>
        <w:rPr>
          <w:i/>
        </w:rPr>
        <w:t>" Taille, risque  et réglementation bancaire : une analyse empirique "</w:t>
      </w:r>
      <w:r>
        <w:t xml:space="preserve"> , </w:t>
      </w:r>
      <w:r>
        <w:rPr>
          <w:u w:val="single"/>
        </w:rPr>
        <w:t>CRMM</w:t>
      </w:r>
      <w:r>
        <w:t>, Université de Limoges, juin 1995.</w:t>
      </w:r>
    </w:p>
    <w:p w:rsidR="006C2965" w:rsidRPr="00B936B1" w:rsidRDefault="006C2965" w:rsidP="006C2965">
      <w:pPr>
        <w:tabs>
          <w:tab w:val="left" w:pos="1701"/>
          <w:tab w:val="left" w:pos="1927"/>
        </w:tabs>
        <w:ind w:left="840" w:hanging="280"/>
      </w:pPr>
      <w:r>
        <w:t>•</w:t>
      </w:r>
      <w:r>
        <w:tab/>
      </w:r>
      <w:r>
        <w:rPr>
          <w:i/>
        </w:rPr>
        <w:t>" Bank stock returns and asymmetric information in Banking "</w:t>
      </w:r>
      <w:r>
        <w:t xml:space="preserve"> , en collaboration avec Céline Crouzille et Laetitia Lepetit, </w:t>
      </w:r>
      <w:r>
        <w:rPr>
          <w:u w:val="single"/>
        </w:rPr>
        <w:t>CRMM</w:t>
      </w:r>
      <w:r>
        <w:t>, Université de Limoges, février 2003.</w:t>
      </w:r>
    </w:p>
    <w:p w:rsidR="006C2965" w:rsidRPr="00B936B1" w:rsidRDefault="006C2965" w:rsidP="006C2965">
      <w:pPr>
        <w:spacing w:line="276" w:lineRule="auto"/>
        <w:ind w:left="709" w:hanging="149"/>
        <w:rPr>
          <w:bCs/>
          <w:lang w:val="en-GB"/>
        </w:rPr>
      </w:pPr>
      <w:r>
        <w:rPr>
          <w:lang w:val="en-GB"/>
        </w:rPr>
        <w:t>•</w:t>
      </w:r>
      <w:r>
        <w:rPr>
          <w:lang w:val="en-GB"/>
        </w:rPr>
        <w:tab/>
        <w:t xml:space="preserve"> “</w:t>
      </w:r>
      <w:r>
        <w:rPr>
          <w:i/>
          <w:iCs/>
          <w:lang w:val="en-GB"/>
        </w:rPr>
        <w:t>The determinants of  bank contagion risk in South East Asia</w:t>
      </w:r>
      <w:r>
        <w:rPr>
          <w:lang w:val="en-GB"/>
        </w:rPr>
        <w:t xml:space="preserve"> :</w:t>
      </w:r>
      <w:r>
        <w:rPr>
          <w:b/>
          <w:lang w:val="en-GB"/>
        </w:rPr>
        <w:t xml:space="preserve"> </w:t>
      </w:r>
      <w:r>
        <w:rPr>
          <w:bCs/>
          <w:i/>
          <w:iCs/>
          <w:lang w:val="en-GB"/>
        </w:rPr>
        <w:t>a market model residuals approach”,</w:t>
      </w:r>
      <w:r>
        <w:rPr>
          <w:bCs/>
          <w:lang w:val="en-GB"/>
        </w:rPr>
        <w:t xml:space="preserve"> with C. Bautista and Ph. Rous, working paper, February 2007.</w:t>
      </w:r>
    </w:p>
    <w:p w:rsidR="006C2965" w:rsidRPr="00B936B1" w:rsidRDefault="006C2965" w:rsidP="006C2965">
      <w:pPr>
        <w:tabs>
          <w:tab w:val="right" w:pos="9639"/>
        </w:tabs>
        <w:spacing w:line="360" w:lineRule="atLeast"/>
        <w:ind w:left="840" w:hanging="280"/>
        <w:rPr>
          <w:lang w:val="en-GB"/>
        </w:rPr>
      </w:pPr>
      <w:r>
        <w:rPr>
          <w:lang w:val="en-GB"/>
        </w:rPr>
        <w:t xml:space="preserve">• </w:t>
      </w:r>
      <w:r>
        <w:rPr>
          <w:rFonts w:cs="Arial"/>
          <w:i/>
          <w:iCs/>
          <w:lang w:val="en-GB"/>
        </w:rPr>
        <w:t xml:space="preserve"> </w:t>
      </w:r>
      <w:r>
        <w:rPr>
          <w:i/>
          <w:lang w:val="en-GB"/>
        </w:rPr>
        <w:t xml:space="preserve">"Bank </w:t>
      </w:r>
      <w:r>
        <w:rPr>
          <w:bCs/>
          <w:i/>
          <w:iCs/>
          <w:lang w:val="en-GB"/>
        </w:rPr>
        <w:t>ownership structure, market Discipline and risk : evidence from a sample of privately owned and publicly held European banks »</w:t>
      </w:r>
      <w:r>
        <w:rPr>
          <w:lang w:val="en-GB"/>
        </w:rPr>
        <w:t xml:space="preserve"> with T. Barry and L. Lepetit, November 2008. </w:t>
      </w:r>
    </w:p>
    <w:p w:rsidR="006C2965" w:rsidRPr="00B936B1" w:rsidRDefault="006C2965" w:rsidP="006C2965">
      <w:pPr>
        <w:tabs>
          <w:tab w:val="left" w:pos="1701"/>
          <w:tab w:val="left" w:pos="1927"/>
        </w:tabs>
        <w:spacing w:line="360" w:lineRule="atLeast"/>
        <w:ind w:left="840" w:hanging="220"/>
        <w:rPr>
          <w:bCs/>
          <w:lang w:val="id-ID"/>
        </w:rPr>
      </w:pPr>
      <w:r>
        <w:rPr>
          <w:lang w:val="en-GB"/>
        </w:rPr>
        <w:lastRenderedPageBreak/>
        <w:t>•</w:t>
      </w:r>
      <w:r>
        <w:rPr>
          <w:bCs/>
          <w:i/>
          <w:lang w:val="id-ID"/>
        </w:rPr>
        <w:t xml:space="preserve"> “Capital Regulation, Governance and Risk in Indonesian Banking: Does Ownership Type Matter?” </w:t>
      </w:r>
      <w:r>
        <w:rPr>
          <w:bCs/>
          <w:lang w:val="id-ID"/>
        </w:rPr>
        <w:t xml:space="preserve">with Ph. Rous and W. Soedarmono, September 2009. </w:t>
      </w:r>
    </w:p>
    <w:p w:rsidR="006C2965" w:rsidRPr="00EA5C49" w:rsidRDefault="006C2965" w:rsidP="006C2965">
      <w:pPr>
        <w:tabs>
          <w:tab w:val="left" w:pos="1701"/>
          <w:tab w:val="left" w:pos="1927"/>
        </w:tabs>
        <w:spacing w:line="360" w:lineRule="atLeast"/>
        <w:ind w:left="840" w:hanging="220"/>
        <w:rPr>
          <w:bCs/>
          <w:lang w:val="en-US"/>
        </w:rPr>
      </w:pPr>
      <w:r>
        <w:rPr>
          <w:lang w:val="en-GB"/>
        </w:rPr>
        <w:t>•</w:t>
      </w:r>
      <w:r>
        <w:rPr>
          <w:bCs/>
          <w:i/>
          <w:lang w:val="id-ID"/>
        </w:rPr>
        <w:t xml:space="preserve"> “Diversification, </w:t>
      </w:r>
      <w:r>
        <w:rPr>
          <w:bCs/>
          <w:i/>
          <w:lang w:val="en-US"/>
        </w:rPr>
        <w:t>Risk and Performance in an Emerging Economy: Evidence from Philippine Banks”</w:t>
      </w:r>
      <w:r>
        <w:rPr>
          <w:bCs/>
          <w:lang w:val="en-US"/>
        </w:rPr>
        <w:t>, with C. Meslier and R. Tacneng, December 2010.</w:t>
      </w:r>
    </w:p>
    <w:p w:rsidR="006C2965" w:rsidRPr="00EA5C49" w:rsidRDefault="006C2965" w:rsidP="006C2965">
      <w:pPr>
        <w:tabs>
          <w:tab w:val="left" w:pos="1701"/>
          <w:tab w:val="left" w:pos="1927"/>
        </w:tabs>
        <w:spacing w:line="360" w:lineRule="atLeast"/>
        <w:ind w:left="840" w:hanging="220"/>
        <w:rPr>
          <w:bCs/>
          <w:lang w:val="en-US"/>
        </w:rPr>
      </w:pPr>
      <w:r>
        <w:rPr>
          <w:lang w:val="en-GB"/>
        </w:rPr>
        <w:t>•</w:t>
      </w:r>
      <w:r>
        <w:rPr>
          <w:bCs/>
          <w:i/>
          <w:lang w:val="en-US"/>
        </w:rPr>
        <w:t xml:space="preserve">“Risk and Stability in Islamic Banking", </w:t>
      </w:r>
      <w:r>
        <w:rPr>
          <w:bCs/>
          <w:lang w:val="en-US"/>
        </w:rPr>
        <w:t>with P. Abedifar and Phil. Molyneux, March 2011.</w:t>
      </w:r>
    </w:p>
    <w:p w:rsidR="006C2965" w:rsidRPr="00EA5C49" w:rsidRDefault="006C2965" w:rsidP="006C2965">
      <w:pPr>
        <w:tabs>
          <w:tab w:val="left" w:pos="1701"/>
          <w:tab w:val="left" w:pos="1927"/>
        </w:tabs>
        <w:spacing w:line="360" w:lineRule="atLeast"/>
        <w:ind w:left="840" w:hanging="220"/>
        <w:rPr>
          <w:lang w:val="en-US" w:eastAsia="zh-TW" w:bidi="he-IL"/>
        </w:rPr>
      </w:pPr>
      <w:r>
        <w:rPr>
          <w:lang w:val="en-GB"/>
        </w:rPr>
        <w:t xml:space="preserve">• </w:t>
      </w:r>
      <w:r>
        <w:rPr>
          <w:i/>
          <w:iCs/>
          <w:lang w:val="en-US" w:eastAsia="zh-TW" w:bidi="he-IL"/>
        </w:rPr>
        <w:t>"Bank market power, institutional development and economic growth: Evidence from Asia"</w:t>
      </w:r>
      <w:r>
        <w:rPr>
          <w:lang w:val="en-US" w:eastAsia="zh-TW" w:bidi="he-IL"/>
        </w:rPr>
        <w:t>, with B. Sutopo, A. Atmaji and W. Soedarmono,</w:t>
      </w:r>
      <w:r>
        <w:rPr>
          <w:u w:val="single"/>
          <w:lang w:val="en-US" w:eastAsia="zh-TW" w:bidi="he-IL"/>
        </w:rPr>
        <w:t xml:space="preserve"> </w:t>
      </w:r>
      <w:r>
        <w:rPr>
          <w:lang w:val="en-US" w:eastAsia="zh-TW" w:bidi="he-IL"/>
        </w:rPr>
        <w:t xml:space="preserve"> August 2011.</w:t>
      </w:r>
    </w:p>
    <w:p w:rsidR="006C2965" w:rsidRPr="00EA5C49" w:rsidRDefault="006C2965" w:rsidP="006C2965">
      <w:pPr>
        <w:spacing w:line="360" w:lineRule="atLeast"/>
        <w:ind w:left="567"/>
        <w:rPr>
          <w:bCs/>
          <w:lang w:val="en-US"/>
        </w:rPr>
      </w:pPr>
      <w:r>
        <w:rPr>
          <w:lang w:val="en-GB"/>
        </w:rPr>
        <w:t>•</w:t>
      </w:r>
      <w:r>
        <w:rPr>
          <w:bCs/>
          <w:i/>
          <w:lang w:val="en-US"/>
        </w:rPr>
        <w:t xml:space="preserve">“Does it pay to get connected : an examination of banks' alliance network and bond spread", </w:t>
      </w:r>
      <w:r>
        <w:rPr>
          <w:bCs/>
          <w:lang w:val="en-US"/>
        </w:rPr>
        <w:t>with C. Meslier, I. Hasan and M. Zhou, October 2011.</w:t>
      </w:r>
    </w:p>
    <w:p w:rsidR="006C2965" w:rsidRPr="00EA5C49" w:rsidRDefault="006C2965" w:rsidP="006C2965">
      <w:pPr>
        <w:spacing w:line="360" w:lineRule="atLeast"/>
        <w:ind w:left="567"/>
        <w:rPr>
          <w:bCs/>
          <w:lang w:val="en-US"/>
        </w:rPr>
      </w:pPr>
      <w:r>
        <w:rPr>
          <w:bCs/>
          <w:lang w:val="en-GB"/>
        </w:rPr>
        <w:t>•</w:t>
      </w:r>
      <w:r>
        <w:rPr>
          <w:bCs/>
          <w:i/>
          <w:lang w:val="en-US"/>
        </w:rPr>
        <w:t>“</w:t>
      </w:r>
      <w:r>
        <w:rPr>
          <w:bCs/>
          <w:lang w:val="en-US"/>
        </w:rPr>
        <w:t xml:space="preserve"> </w:t>
      </w:r>
      <w:r>
        <w:rPr>
          <w:bCs/>
          <w:i/>
          <w:lang w:val="en-US"/>
        </w:rPr>
        <w:t>Bank Analysts and Bank rating Agencies : who knows what when?"</w:t>
      </w:r>
      <w:r>
        <w:rPr>
          <w:bCs/>
          <w:lang w:val="en-US"/>
        </w:rPr>
        <w:t xml:space="preserve">, with C.J. Lu, I. Distinguin and Y. Chang, November 2011. </w:t>
      </w:r>
    </w:p>
    <w:p w:rsidR="006C2965" w:rsidRPr="00EA5C49" w:rsidRDefault="006C2965" w:rsidP="006C2965">
      <w:pPr>
        <w:tabs>
          <w:tab w:val="left" w:pos="1701"/>
          <w:tab w:val="left" w:pos="1927"/>
        </w:tabs>
        <w:spacing w:line="360" w:lineRule="atLeast"/>
        <w:ind w:left="840" w:hanging="220"/>
        <w:rPr>
          <w:bCs/>
          <w:lang w:val="en-US"/>
        </w:rPr>
      </w:pPr>
      <w:r>
        <w:rPr>
          <w:lang w:val="en-GB"/>
        </w:rPr>
        <w:t>•</w:t>
      </w:r>
      <w:r>
        <w:rPr>
          <w:bCs/>
          <w:i/>
          <w:lang w:val="en-US"/>
        </w:rPr>
        <w:t>“</w:t>
      </w:r>
      <w:r>
        <w:rPr>
          <w:rFonts w:eastAsiaTheme="minorEastAsia"/>
          <w:lang w:val="en-US" w:eastAsia="en-US"/>
        </w:rPr>
        <w:t xml:space="preserve"> </w:t>
      </w:r>
      <w:r>
        <w:rPr>
          <w:bCs/>
          <w:i/>
          <w:lang w:val="en-US"/>
        </w:rPr>
        <w:t>Bigger And Wider:  The Benefits of Geographic Diversification in Banking"</w:t>
      </w:r>
      <w:r>
        <w:rPr>
          <w:bCs/>
          <w:lang w:val="en-US"/>
        </w:rPr>
        <w:t xml:space="preserve">, with C. Meslier, D. Morgan and K. Samolyk, January 2012. </w:t>
      </w:r>
    </w:p>
    <w:p w:rsidR="006C2965" w:rsidRPr="00B936B1" w:rsidRDefault="006C2965" w:rsidP="006C2965">
      <w:pPr>
        <w:tabs>
          <w:tab w:val="left" w:pos="1701"/>
          <w:tab w:val="left" w:pos="1927"/>
        </w:tabs>
        <w:spacing w:line="360" w:lineRule="atLeast"/>
        <w:ind w:left="840" w:hanging="220"/>
        <w:rPr>
          <w:iCs/>
          <w:lang w:val="en-GB"/>
        </w:rPr>
      </w:pPr>
      <w:r>
        <w:rPr>
          <w:i/>
          <w:iCs/>
          <w:lang w:val="en-GB"/>
        </w:rPr>
        <w:t>• "</w:t>
      </w:r>
      <w:r>
        <w:rPr>
          <w:i/>
          <w:iCs/>
          <w:lang w:val="en-US"/>
        </w:rPr>
        <w:t xml:space="preserve"> Bank Regulatory Capital Adjustment and Ultimate Ownership Structure: Evidence from European Commercial Banks</w:t>
      </w:r>
      <w:r>
        <w:rPr>
          <w:i/>
          <w:iCs/>
          <w:lang w:val="en-GB"/>
        </w:rPr>
        <w:t xml:space="preserve">, </w:t>
      </w:r>
      <w:r>
        <w:rPr>
          <w:iCs/>
          <w:lang w:val="en-GB"/>
        </w:rPr>
        <w:t>with L. Lepetit and N. Zedek, May 2012.</w:t>
      </w:r>
    </w:p>
    <w:p w:rsidR="006C2965" w:rsidRPr="00EA5C49" w:rsidRDefault="006C2965" w:rsidP="006C2965">
      <w:pPr>
        <w:tabs>
          <w:tab w:val="left" w:pos="1701"/>
          <w:tab w:val="left" w:pos="1927"/>
        </w:tabs>
        <w:spacing w:line="360" w:lineRule="atLeast"/>
        <w:ind w:left="840" w:hanging="220"/>
        <w:rPr>
          <w:iCs/>
          <w:lang w:val="en-US"/>
        </w:rPr>
      </w:pPr>
      <w:r>
        <w:rPr>
          <w:i/>
          <w:iCs/>
          <w:lang w:val="en-GB"/>
        </w:rPr>
        <w:t>• "</w:t>
      </w:r>
      <w:r>
        <w:rPr>
          <w:i/>
          <w:iCs/>
          <w:lang w:val="en-US"/>
        </w:rPr>
        <w:t xml:space="preserve"> Political connections, Bank Deposits and Formal Deposit Insurance : Evidence from Indonesia"</w:t>
      </w:r>
      <w:r>
        <w:rPr>
          <w:iCs/>
          <w:lang w:val="en-US"/>
        </w:rPr>
        <w:t xml:space="preserve"> with E. Nys and I. Trinugroho, June 2012. </w:t>
      </w:r>
    </w:p>
    <w:p w:rsidR="006C2965" w:rsidRPr="00EA5C49" w:rsidRDefault="006C2965" w:rsidP="006C2965">
      <w:pPr>
        <w:tabs>
          <w:tab w:val="left" w:pos="1701"/>
          <w:tab w:val="left" w:pos="1927"/>
        </w:tabs>
        <w:spacing w:line="360" w:lineRule="atLeast"/>
        <w:ind w:left="840" w:hanging="220"/>
        <w:rPr>
          <w:iCs/>
          <w:lang w:val="en-US"/>
        </w:rPr>
      </w:pPr>
      <w:r>
        <w:rPr>
          <w:i/>
          <w:iCs/>
          <w:lang w:val="en-GB"/>
        </w:rPr>
        <w:t>• "</w:t>
      </w:r>
      <w:r>
        <w:rPr>
          <w:i/>
          <w:iCs/>
          <w:lang w:val="en-US"/>
        </w:rPr>
        <w:t xml:space="preserve"> Why have Bank Interest Margins been so high in Indonesia since the 1997-1998 Financial Crisis? </w:t>
      </w:r>
      <w:r>
        <w:rPr>
          <w:iCs/>
          <w:lang w:val="en-US"/>
        </w:rPr>
        <w:t>with I. Trinugroho and A. Agusman, September 2012.</w:t>
      </w:r>
    </w:p>
    <w:p w:rsidR="00D26BC7" w:rsidRPr="00EA5C49" w:rsidRDefault="006C2965" w:rsidP="006C2965">
      <w:pPr>
        <w:tabs>
          <w:tab w:val="left" w:pos="1701"/>
          <w:tab w:val="left" w:pos="1927"/>
        </w:tabs>
        <w:spacing w:line="360" w:lineRule="atLeast"/>
        <w:ind w:left="840" w:hanging="220"/>
        <w:rPr>
          <w:iCs/>
          <w:lang w:val="en-US"/>
        </w:rPr>
      </w:pPr>
      <w:r>
        <w:rPr>
          <w:i/>
          <w:iCs/>
          <w:lang w:val="en-GB"/>
        </w:rPr>
        <w:t>• "</w:t>
      </w:r>
      <w:r>
        <w:rPr>
          <w:i/>
          <w:iCs/>
          <w:lang w:val="en-US"/>
        </w:rPr>
        <w:t xml:space="preserve">Bank Charter value and market discipline", </w:t>
      </w:r>
      <w:r>
        <w:rPr>
          <w:iCs/>
          <w:lang w:val="en-US"/>
        </w:rPr>
        <w:t>with A.R. Fonseca and M. Haq, February 2013.</w:t>
      </w:r>
    </w:p>
    <w:p w:rsidR="006C2965" w:rsidRPr="00EA5C49" w:rsidRDefault="006C2965" w:rsidP="006C2965">
      <w:pPr>
        <w:tabs>
          <w:tab w:val="left" w:pos="1701"/>
          <w:tab w:val="left" w:pos="1927"/>
        </w:tabs>
        <w:spacing w:line="360" w:lineRule="atLeast"/>
        <w:ind w:left="840" w:hanging="220"/>
        <w:rPr>
          <w:iCs/>
          <w:lang w:val="en-US"/>
        </w:rPr>
      </w:pPr>
      <w:r>
        <w:rPr>
          <w:i/>
          <w:iCs/>
          <w:lang w:val="en-GB"/>
        </w:rPr>
        <w:t>• "</w:t>
      </w:r>
      <w:r>
        <w:rPr>
          <w:i/>
          <w:iCs/>
          <w:lang w:val="en-US"/>
        </w:rPr>
        <w:t xml:space="preserve"> Excess Control Rights, Financial Crisis and Bank Profitability and Risk"</w:t>
      </w:r>
      <w:r>
        <w:rPr>
          <w:iCs/>
          <w:lang w:val="en-US"/>
        </w:rPr>
        <w:t xml:space="preserve">, with N. Zedek, August 2013. </w:t>
      </w:r>
    </w:p>
    <w:p w:rsidR="00572A13" w:rsidRPr="00EA5C49" w:rsidRDefault="00572A13" w:rsidP="006C2965">
      <w:pPr>
        <w:tabs>
          <w:tab w:val="left" w:pos="1701"/>
          <w:tab w:val="left" w:pos="1927"/>
        </w:tabs>
        <w:spacing w:line="360" w:lineRule="atLeast"/>
        <w:ind w:left="840" w:hanging="220"/>
        <w:rPr>
          <w:iCs/>
          <w:lang w:val="en-US"/>
        </w:rPr>
      </w:pPr>
      <w:r>
        <w:rPr>
          <w:i/>
          <w:iCs/>
          <w:lang w:val="en-GB"/>
        </w:rPr>
        <w:t xml:space="preserve">• </w:t>
      </w:r>
      <w:r>
        <w:rPr>
          <w:iCs/>
          <w:lang w:val="en-US"/>
        </w:rPr>
        <w:t>"</w:t>
      </w:r>
      <w:r>
        <w:rPr>
          <w:i/>
          <w:iCs/>
          <w:lang w:val="en-US"/>
        </w:rPr>
        <w:t>Disclosure, ownership structure and bank risk: Evidence from Asia</w:t>
      </w:r>
      <w:r>
        <w:rPr>
          <w:iCs/>
          <w:lang w:val="en-US"/>
        </w:rPr>
        <w:t>", with Bowo Setiyono, February 2014.</w:t>
      </w:r>
    </w:p>
    <w:p w:rsidR="00D26BC7" w:rsidRDefault="00D26BC7" w:rsidP="006C2965">
      <w:pPr>
        <w:tabs>
          <w:tab w:val="left" w:pos="1701"/>
          <w:tab w:val="left" w:pos="1927"/>
        </w:tabs>
        <w:spacing w:line="360" w:lineRule="atLeast"/>
        <w:ind w:left="840" w:hanging="220"/>
        <w:rPr>
          <w:bCs/>
        </w:rPr>
      </w:pPr>
      <w:r>
        <w:rPr>
          <w:bCs/>
        </w:rPr>
        <w:t>•</w:t>
      </w:r>
      <w:r>
        <w:rPr>
          <w:bCs/>
          <w:i/>
        </w:rPr>
        <w:t> "Droits de contrôle versus droits pécuniaires, crise financière et vulnérabilité des banques européennes"</w:t>
      </w:r>
      <w:r>
        <w:rPr>
          <w:bCs/>
        </w:rPr>
        <w:t xml:space="preserve"> , avec N. Zedek, June 2014.</w:t>
      </w:r>
    </w:p>
    <w:p w:rsidR="005F7026" w:rsidRPr="00EA5C49" w:rsidRDefault="006261DA" w:rsidP="006C2965">
      <w:pPr>
        <w:tabs>
          <w:tab w:val="left" w:pos="1701"/>
          <w:tab w:val="left" w:pos="1927"/>
        </w:tabs>
        <w:spacing w:line="360" w:lineRule="atLeast"/>
        <w:ind w:left="840" w:hanging="220"/>
        <w:rPr>
          <w:bCs/>
          <w:iCs/>
          <w:lang w:val="en-US"/>
        </w:rPr>
      </w:pPr>
      <w:r>
        <w:rPr>
          <w:bCs/>
          <w:iCs/>
          <w:lang w:val="en-GB"/>
        </w:rPr>
        <w:t>•</w:t>
      </w:r>
      <w:r>
        <w:rPr>
          <w:bCs/>
          <w:i/>
          <w:iCs/>
          <w:lang w:val="id-ID"/>
        </w:rPr>
        <w:t xml:space="preserve"> </w:t>
      </w:r>
      <w:r>
        <w:rPr>
          <w:bCs/>
          <w:i/>
          <w:iCs/>
          <w:lang w:val="en-US"/>
        </w:rPr>
        <w:t>"Disclosure and Bank Loan Contracting : Evidence from Emerging Markets"</w:t>
      </w:r>
      <w:r>
        <w:rPr>
          <w:bCs/>
          <w:iCs/>
          <w:lang w:val="en-US"/>
        </w:rPr>
        <w:t>, with Iftekhar Hasan and Liang Song, July 2014.</w:t>
      </w:r>
    </w:p>
    <w:p w:rsidR="00572A13" w:rsidRPr="00EA5C49" w:rsidRDefault="00572A13" w:rsidP="006C2965">
      <w:pPr>
        <w:tabs>
          <w:tab w:val="left" w:pos="1701"/>
          <w:tab w:val="left" w:pos="1927"/>
        </w:tabs>
        <w:spacing w:line="360" w:lineRule="atLeast"/>
        <w:ind w:left="840" w:hanging="220"/>
        <w:rPr>
          <w:bCs/>
          <w:lang w:val="en-US"/>
        </w:rPr>
      </w:pPr>
      <w:r>
        <w:rPr>
          <w:bCs/>
          <w:lang w:val="en-US"/>
        </w:rPr>
        <w:t>•</w:t>
      </w:r>
      <w:r>
        <w:rPr>
          <w:bCs/>
          <w:i/>
          <w:lang w:val="en-US"/>
        </w:rPr>
        <w:t> "Does diversity of bank board members affect performance and risk? Evidence from an emerging market</w:t>
      </w:r>
      <w:r>
        <w:rPr>
          <w:bCs/>
          <w:lang w:val="en-US"/>
        </w:rPr>
        <w:t xml:space="preserve">" with Bowo Setiyono, October 2014. </w:t>
      </w:r>
    </w:p>
    <w:p w:rsidR="00C03FCE" w:rsidRPr="00EA5C49" w:rsidRDefault="00C03FCE" w:rsidP="006C2965">
      <w:pPr>
        <w:tabs>
          <w:tab w:val="left" w:pos="1701"/>
          <w:tab w:val="left" w:pos="1927"/>
        </w:tabs>
        <w:spacing w:line="360" w:lineRule="atLeast"/>
        <w:ind w:left="840" w:hanging="220"/>
        <w:rPr>
          <w:bCs/>
          <w:iCs/>
          <w:lang w:val="en-US"/>
        </w:rPr>
      </w:pPr>
      <w:r>
        <w:rPr>
          <w:bCs/>
          <w:iCs/>
          <w:lang w:val="en-GB"/>
        </w:rPr>
        <w:t>•</w:t>
      </w:r>
      <w:r>
        <w:rPr>
          <w:bCs/>
          <w:i/>
          <w:iCs/>
          <w:lang w:val="id-ID"/>
        </w:rPr>
        <w:t xml:space="preserve"> “</w:t>
      </w:r>
      <w:r>
        <w:rPr>
          <w:bCs/>
          <w:i/>
          <w:iCs/>
          <w:lang w:val="en-US"/>
        </w:rPr>
        <w:t>Finance-Growth Nexus and Dual-Banking Systems: Relative Importance of Islamic Banks"</w:t>
      </w:r>
      <w:r>
        <w:rPr>
          <w:bCs/>
          <w:iCs/>
          <w:lang w:val="en-US"/>
        </w:rPr>
        <w:t xml:space="preserve">, with P. Abedifar and I. Hasan, September 2014. </w:t>
      </w:r>
    </w:p>
    <w:p w:rsidR="00D51853" w:rsidRPr="00EA5C49" w:rsidRDefault="00D51853" w:rsidP="00D51853">
      <w:pPr>
        <w:tabs>
          <w:tab w:val="left" w:pos="1701"/>
          <w:tab w:val="left" w:pos="1927"/>
        </w:tabs>
        <w:spacing w:line="360" w:lineRule="atLeast"/>
        <w:ind w:left="840" w:hanging="220"/>
        <w:rPr>
          <w:bCs/>
          <w:iCs/>
          <w:lang w:val="en-US"/>
        </w:rPr>
      </w:pPr>
      <w:r>
        <w:rPr>
          <w:bCs/>
          <w:iCs/>
          <w:lang w:val="en-GB"/>
        </w:rPr>
        <w:t>•</w:t>
      </w:r>
      <w:r>
        <w:rPr>
          <w:bCs/>
          <w:i/>
          <w:iCs/>
          <w:lang w:val="id-ID"/>
        </w:rPr>
        <w:t>“</w:t>
      </w:r>
      <w:r>
        <w:rPr>
          <w:bCs/>
          <w:i/>
          <w:iCs/>
          <w:lang w:val="en-US"/>
        </w:rPr>
        <w:t>Islamic Banking and Finance : Recent Empirical Literature and Directions for Future Research"</w:t>
      </w:r>
      <w:r>
        <w:rPr>
          <w:bCs/>
          <w:iCs/>
          <w:lang w:val="en-US"/>
        </w:rPr>
        <w:t>, with P. Abedifar, S. Ebrahim and Phil. Molyneux, September 2014.</w:t>
      </w:r>
    </w:p>
    <w:p w:rsidR="005F7026" w:rsidRPr="00EA5C49" w:rsidRDefault="005F7026" w:rsidP="00D51853">
      <w:pPr>
        <w:tabs>
          <w:tab w:val="left" w:pos="1701"/>
          <w:tab w:val="left" w:pos="1927"/>
        </w:tabs>
        <w:spacing w:line="360" w:lineRule="atLeast"/>
        <w:ind w:left="840" w:hanging="220"/>
        <w:rPr>
          <w:bCs/>
          <w:iCs/>
          <w:lang w:val="en-US"/>
        </w:rPr>
      </w:pPr>
      <w:r>
        <w:rPr>
          <w:bCs/>
          <w:iCs/>
          <w:lang w:val="en-GB"/>
        </w:rPr>
        <w:t xml:space="preserve">• </w:t>
      </w:r>
      <w:r>
        <w:rPr>
          <w:bCs/>
          <w:i/>
          <w:iCs/>
          <w:lang w:val="en-US"/>
        </w:rPr>
        <w:t>"Accounting Regulations, Stock Price Informativeness, and Stock Crash Risk: Evidence from Global Banking Industry"</w:t>
      </w:r>
      <w:r>
        <w:rPr>
          <w:bCs/>
          <w:iCs/>
          <w:lang w:val="en-US"/>
        </w:rPr>
        <w:t xml:space="preserve"> coauthored with Iftekhar Hasan, Dean John and Liang Song, Nov. 2014.</w:t>
      </w:r>
    </w:p>
    <w:p w:rsidR="005E3105" w:rsidRPr="00EA5C49" w:rsidRDefault="005E3105" w:rsidP="00D51853">
      <w:pPr>
        <w:tabs>
          <w:tab w:val="left" w:pos="1701"/>
          <w:tab w:val="left" w:pos="1927"/>
        </w:tabs>
        <w:spacing w:line="360" w:lineRule="atLeast"/>
        <w:ind w:left="840" w:hanging="220"/>
        <w:rPr>
          <w:bCs/>
          <w:iCs/>
          <w:lang w:val="en-US"/>
        </w:rPr>
      </w:pPr>
      <w:r>
        <w:rPr>
          <w:bCs/>
          <w:iCs/>
          <w:lang w:val="en-GB"/>
        </w:rPr>
        <w:t>•</w:t>
      </w:r>
      <w:r>
        <w:rPr>
          <w:bCs/>
          <w:i/>
          <w:iCs/>
          <w:lang w:val="id-ID"/>
        </w:rPr>
        <w:t>“</w:t>
      </w:r>
      <w:r>
        <w:rPr>
          <w:bCs/>
          <w:i/>
          <w:iCs/>
          <w:lang w:val="en-US"/>
        </w:rPr>
        <w:t>Does the presence of institutional investors in family banks affect profitability and risk?</w:t>
      </w:r>
      <w:r>
        <w:rPr>
          <w:bCs/>
          <w:iCs/>
          <w:lang w:val="en-US"/>
        </w:rPr>
        <w:t xml:space="preserve"> </w:t>
      </w:r>
      <w:r>
        <w:rPr>
          <w:bCs/>
          <w:i/>
          <w:iCs/>
          <w:lang w:val="en-US"/>
        </w:rPr>
        <w:t xml:space="preserve">Evidence from an emerging market", </w:t>
      </w:r>
      <w:r>
        <w:rPr>
          <w:bCs/>
          <w:iCs/>
          <w:lang w:val="en-US"/>
        </w:rPr>
        <w:t>with Bowo Setiyono, December 2014.</w:t>
      </w:r>
    </w:p>
    <w:p w:rsidR="000D39E1" w:rsidRDefault="000D39E1" w:rsidP="00D51853">
      <w:pPr>
        <w:tabs>
          <w:tab w:val="left" w:pos="1701"/>
          <w:tab w:val="left" w:pos="1927"/>
        </w:tabs>
        <w:spacing w:line="360" w:lineRule="atLeast"/>
        <w:ind w:left="840" w:hanging="220"/>
        <w:rPr>
          <w:bCs/>
          <w:iCs/>
          <w:lang w:val="it-IT"/>
        </w:rPr>
      </w:pPr>
      <w:r>
        <w:rPr>
          <w:bCs/>
          <w:iCs/>
          <w:lang w:val="en-GB"/>
        </w:rPr>
        <w:lastRenderedPageBreak/>
        <w:t xml:space="preserve">• </w:t>
      </w:r>
      <w:r>
        <w:rPr>
          <w:bCs/>
          <w:iCs/>
          <w:lang w:val="en-US"/>
        </w:rPr>
        <w:t>"</w:t>
      </w:r>
      <w:r>
        <w:rPr>
          <w:bCs/>
          <w:i/>
          <w:iCs/>
          <w:lang w:val="en-US"/>
        </w:rPr>
        <w:t>Errare Humanum Est, Perseverare Autem Diabolicum: A Test of Investors learning from information spillover</w:t>
      </w:r>
      <w:r>
        <w:rPr>
          <w:bCs/>
          <w:iCs/>
          <w:lang w:val="en-US"/>
        </w:rPr>
        <w:t xml:space="preserve">" , with </w:t>
      </w:r>
      <w:r>
        <w:rPr>
          <w:bCs/>
          <w:iCs/>
          <w:lang w:val="it-IT"/>
        </w:rPr>
        <w:t>Franco Fiordelisi, Francesco Saverio Stentella Lopes, March 2015.</w:t>
      </w:r>
    </w:p>
    <w:p w:rsidR="005E3105" w:rsidRDefault="005E3105" w:rsidP="00D51853">
      <w:pPr>
        <w:tabs>
          <w:tab w:val="left" w:pos="1701"/>
          <w:tab w:val="left" w:pos="1927"/>
        </w:tabs>
        <w:spacing w:line="360" w:lineRule="atLeast"/>
        <w:ind w:left="840" w:hanging="220"/>
        <w:rPr>
          <w:bCs/>
          <w:iCs/>
          <w:lang w:val="it-IT"/>
        </w:rPr>
      </w:pPr>
      <w:r>
        <w:rPr>
          <w:bCs/>
          <w:iCs/>
          <w:lang w:val="en-GB"/>
        </w:rPr>
        <w:t xml:space="preserve">• </w:t>
      </w:r>
      <w:r>
        <w:rPr>
          <w:bCs/>
          <w:iCs/>
          <w:lang w:val="en-US"/>
        </w:rPr>
        <w:t>"</w:t>
      </w:r>
      <w:r>
        <w:rPr>
          <w:bCs/>
          <w:i/>
          <w:iCs/>
          <w:lang w:val="en-US"/>
        </w:rPr>
        <w:t>Local Versus International Crises, Foreign Subsidiaries and Bank Stability: Evidence from the MENA Region"</w:t>
      </w:r>
      <w:r>
        <w:rPr>
          <w:bCs/>
          <w:iCs/>
          <w:lang w:val="en-US"/>
        </w:rPr>
        <w:t>, with T. AlRaheb, December 2015.</w:t>
      </w:r>
    </w:p>
    <w:p w:rsidR="00763C03" w:rsidRPr="00EA5C49" w:rsidRDefault="00763C03" w:rsidP="00D51853">
      <w:pPr>
        <w:tabs>
          <w:tab w:val="left" w:pos="1701"/>
          <w:tab w:val="left" w:pos="1927"/>
        </w:tabs>
        <w:spacing w:line="360" w:lineRule="atLeast"/>
        <w:ind w:left="840" w:hanging="220"/>
        <w:rPr>
          <w:bCs/>
          <w:iCs/>
          <w:lang w:val="en-US"/>
        </w:rPr>
      </w:pPr>
      <w:r>
        <w:rPr>
          <w:bCs/>
          <w:iCs/>
          <w:lang w:val="en-GB"/>
        </w:rPr>
        <w:t xml:space="preserve">• </w:t>
      </w:r>
      <w:r>
        <w:rPr>
          <w:bCs/>
          <w:iCs/>
          <w:lang w:val="en-US"/>
        </w:rPr>
        <w:t>"</w:t>
      </w:r>
      <w:r>
        <w:rPr>
          <w:bCs/>
          <w:i/>
          <w:iCs/>
          <w:lang w:val="en-US"/>
        </w:rPr>
        <w:t>Bank Lending and Income Inequality: Evidence from Indonesia</w:t>
      </w:r>
      <w:r>
        <w:rPr>
          <w:bCs/>
          <w:iCs/>
          <w:lang w:val="en-US"/>
        </w:rPr>
        <w:t>" with Putra Pamungkas, Clovis Rugemintwari, Amine Tarazi, Irwan Trinugroho, January 2016.</w:t>
      </w:r>
    </w:p>
    <w:p w:rsidR="005D79E3" w:rsidRPr="00EA5C49" w:rsidRDefault="005D79E3" w:rsidP="00D51853">
      <w:pPr>
        <w:tabs>
          <w:tab w:val="left" w:pos="1701"/>
          <w:tab w:val="left" w:pos="1927"/>
        </w:tabs>
        <w:spacing w:line="360" w:lineRule="atLeast"/>
        <w:ind w:left="840" w:hanging="220"/>
        <w:rPr>
          <w:bCs/>
          <w:iCs/>
          <w:lang w:val="en-US"/>
        </w:rPr>
      </w:pPr>
      <w:r>
        <w:rPr>
          <w:bCs/>
          <w:iCs/>
          <w:lang w:val="en-GB"/>
        </w:rPr>
        <w:t>• "</w:t>
      </w:r>
      <w:r>
        <w:rPr>
          <w:bCs/>
          <w:i/>
          <w:iCs/>
          <w:lang w:val="en-US"/>
        </w:rPr>
        <w:t>Value Relevance of Earnings of Multinational Firms: Regulatory Regimes Associated with Foreign Subsidiaries"</w:t>
      </w:r>
      <w:r>
        <w:rPr>
          <w:bCs/>
          <w:iCs/>
          <w:lang w:val="en-US"/>
        </w:rPr>
        <w:t xml:space="preserve">, with I. Hasan, I. Siraj and K. Wu, August 2016. </w:t>
      </w:r>
    </w:p>
    <w:p w:rsidR="00190E2A" w:rsidRPr="00EA5C49" w:rsidRDefault="00190E2A" w:rsidP="00190E2A">
      <w:pPr>
        <w:tabs>
          <w:tab w:val="left" w:pos="1701"/>
          <w:tab w:val="left" w:pos="1927"/>
        </w:tabs>
        <w:spacing w:line="360" w:lineRule="atLeast"/>
        <w:ind w:left="840" w:hanging="220"/>
        <w:rPr>
          <w:bCs/>
          <w:iCs/>
          <w:lang w:val="en-US"/>
        </w:rPr>
      </w:pPr>
      <w:r>
        <w:rPr>
          <w:bCs/>
          <w:iCs/>
          <w:lang w:val="en-GB"/>
        </w:rPr>
        <w:t>• "</w:t>
      </w:r>
      <w:r>
        <w:rPr>
          <w:bCs/>
          <w:i/>
          <w:iCs/>
          <w:lang w:val="en-US"/>
        </w:rPr>
        <w:t xml:space="preserve">Bank Liquidity Management and Bank Capital Shocks", </w:t>
      </w:r>
      <w:r>
        <w:rPr>
          <w:bCs/>
          <w:iCs/>
          <w:lang w:val="en-US"/>
        </w:rPr>
        <w:t xml:space="preserve">with I. Distinguin and Robert DeYoung, December 2016. </w:t>
      </w:r>
    </w:p>
    <w:p w:rsidR="007A52EF" w:rsidRDefault="007A52EF" w:rsidP="00190E2A">
      <w:pPr>
        <w:tabs>
          <w:tab w:val="left" w:pos="1701"/>
          <w:tab w:val="left" w:pos="1927"/>
        </w:tabs>
        <w:spacing w:line="360" w:lineRule="atLeast"/>
        <w:ind w:left="840" w:hanging="220"/>
        <w:rPr>
          <w:bCs/>
          <w:iCs/>
          <w:lang w:val="en-GB"/>
        </w:rPr>
      </w:pPr>
      <w:r>
        <w:rPr>
          <w:bCs/>
          <w:iCs/>
          <w:lang w:val="en-GB"/>
        </w:rPr>
        <w:t xml:space="preserve">• </w:t>
      </w:r>
      <w:r>
        <w:rPr>
          <w:bCs/>
          <w:i/>
          <w:iCs/>
          <w:lang w:val="en-GB"/>
        </w:rPr>
        <w:t>"Do banks differently set their liquidity ratios based on their network characteristics",</w:t>
      </w:r>
      <w:r>
        <w:rPr>
          <w:bCs/>
          <w:iCs/>
          <w:lang w:val="en-GB"/>
        </w:rPr>
        <w:t xml:space="preserve"> with I. Distinguin and A. Mahdavi-Ardekani, December 2016.</w:t>
      </w:r>
    </w:p>
    <w:p w:rsidR="00A72247" w:rsidRDefault="00A72247" w:rsidP="00A72247">
      <w:pPr>
        <w:tabs>
          <w:tab w:val="left" w:pos="1701"/>
          <w:tab w:val="left" w:pos="1927"/>
        </w:tabs>
        <w:spacing w:line="360" w:lineRule="atLeast"/>
        <w:ind w:left="840" w:hanging="220"/>
        <w:rPr>
          <w:bCs/>
          <w:iCs/>
          <w:lang w:val="en-GB"/>
        </w:rPr>
      </w:pPr>
      <w:r>
        <w:rPr>
          <w:bCs/>
          <w:iCs/>
          <w:lang w:val="en-GB"/>
        </w:rPr>
        <w:t>• "</w:t>
      </w:r>
      <w:r>
        <w:rPr>
          <w:bCs/>
          <w:i/>
          <w:iCs/>
          <w:lang w:val="en-GB"/>
        </w:rPr>
        <w:t>Does banks' systemic importance affect their capital structure adjustment process</w:t>
      </w:r>
      <w:r>
        <w:rPr>
          <w:bCs/>
          <w:iCs/>
          <w:lang w:val="en-GB"/>
        </w:rPr>
        <w:t>?", with Y. Bakkar and O. De Jonghe, October 2017.</w:t>
      </w:r>
    </w:p>
    <w:p w:rsidR="00A72247" w:rsidRPr="00EA5C49" w:rsidRDefault="00A72247" w:rsidP="00A72247">
      <w:pPr>
        <w:tabs>
          <w:tab w:val="left" w:pos="1701"/>
          <w:tab w:val="left" w:pos="1927"/>
        </w:tabs>
        <w:spacing w:line="360" w:lineRule="atLeast"/>
        <w:ind w:left="840" w:hanging="220"/>
        <w:rPr>
          <w:bCs/>
          <w:iCs/>
          <w:lang w:val="en-US"/>
        </w:rPr>
      </w:pPr>
      <w:r>
        <w:rPr>
          <w:bCs/>
          <w:iCs/>
          <w:lang w:val="en-GB"/>
        </w:rPr>
        <w:t xml:space="preserve">• </w:t>
      </w:r>
      <w:r>
        <w:rPr>
          <w:bCs/>
          <w:i/>
          <w:iCs/>
          <w:lang w:val="en-GB"/>
        </w:rPr>
        <w:t>"How does regulation affect the organizational form of European banks' presence in developing and developed countries"</w:t>
      </w:r>
      <w:r>
        <w:rPr>
          <w:bCs/>
          <w:iCs/>
          <w:lang w:val="en-GB"/>
        </w:rPr>
        <w:t>, with A. Pamen Nyola and A. Sauviat, October 2017.</w:t>
      </w:r>
    </w:p>
    <w:p w:rsidR="00732579" w:rsidRDefault="00732579" w:rsidP="00732579">
      <w:pPr>
        <w:tabs>
          <w:tab w:val="left" w:pos="1701"/>
          <w:tab w:val="left" w:pos="1927"/>
        </w:tabs>
        <w:spacing w:line="360" w:lineRule="atLeast"/>
        <w:ind w:left="840" w:hanging="220"/>
        <w:rPr>
          <w:bCs/>
          <w:iCs/>
          <w:lang w:val="en-GB"/>
        </w:rPr>
      </w:pPr>
      <w:r>
        <w:rPr>
          <w:bCs/>
          <w:iCs/>
          <w:lang w:val="en-GB"/>
        </w:rPr>
        <w:t xml:space="preserve">• </w:t>
      </w:r>
      <w:r>
        <w:rPr>
          <w:bCs/>
          <w:i/>
          <w:iCs/>
          <w:lang w:val="en-GB"/>
        </w:rPr>
        <w:t>"</w:t>
      </w:r>
      <w:r>
        <w:rPr>
          <w:bCs/>
          <w:i/>
          <w:iCs/>
          <w:lang w:val="en-US"/>
        </w:rPr>
        <w:t>Creditor rights and bank capital decisions: Conventional vs. Islamic banking"</w:t>
      </w:r>
      <w:r>
        <w:rPr>
          <w:bCs/>
          <w:iCs/>
          <w:lang w:val="en-US"/>
        </w:rPr>
        <w:t xml:space="preserve">, with M. Bitar, </w:t>
      </w:r>
      <w:r>
        <w:rPr>
          <w:bCs/>
          <w:iCs/>
          <w:lang w:val="en-GB"/>
        </w:rPr>
        <w:t>February 2018.</w:t>
      </w:r>
    </w:p>
    <w:p w:rsidR="00FB5DBD" w:rsidRDefault="00FB5DBD" w:rsidP="00FB5DBD">
      <w:pPr>
        <w:tabs>
          <w:tab w:val="left" w:pos="1701"/>
          <w:tab w:val="left" w:pos="1927"/>
        </w:tabs>
        <w:spacing w:line="360" w:lineRule="atLeast"/>
        <w:ind w:left="840" w:hanging="220"/>
        <w:rPr>
          <w:bCs/>
          <w:iCs/>
          <w:lang w:val="en-US"/>
        </w:rPr>
      </w:pPr>
      <w:r>
        <w:rPr>
          <w:bCs/>
          <w:iCs/>
          <w:lang w:val="en-US"/>
        </w:rPr>
        <w:t>•"</w:t>
      </w:r>
      <w:r>
        <w:rPr>
          <w:bCs/>
          <w:i/>
          <w:iCs/>
          <w:lang w:val="en-US"/>
        </w:rPr>
        <w:t>Market liquidity shortage and banks’ capital structure and balance sheet adjustments : evidence from U.S. commercial banks</w:t>
      </w:r>
      <w:r>
        <w:rPr>
          <w:bCs/>
          <w:iCs/>
          <w:lang w:val="en-US"/>
        </w:rPr>
        <w:t>", with T. Barry and A. Diabate, May 2019.</w:t>
      </w:r>
    </w:p>
    <w:p w:rsidR="00C14647" w:rsidRPr="00FB5DBD" w:rsidRDefault="00C14647" w:rsidP="00FB5DBD">
      <w:pPr>
        <w:tabs>
          <w:tab w:val="left" w:pos="1701"/>
          <w:tab w:val="left" w:pos="1927"/>
        </w:tabs>
        <w:spacing w:line="360" w:lineRule="atLeast"/>
        <w:ind w:left="840" w:hanging="220"/>
        <w:rPr>
          <w:bCs/>
          <w:iCs/>
          <w:lang w:val="en-US"/>
        </w:rPr>
      </w:pPr>
      <w:r>
        <w:rPr>
          <w:bCs/>
          <w:iCs/>
          <w:lang w:val="en-US"/>
        </w:rPr>
        <w:t>• “</w:t>
      </w:r>
      <w:r>
        <w:rPr>
          <w:bCs/>
          <w:i/>
          <w:iCs/>
          <w:lang w:val="en-US"/>
        </w:rPr>
        <w:t>How Organizational and Geographic Complexity Influence Performance? Evidence from European Banks</w:t>
      </w:r>
      <w:r>
        <w:rPr>
          <w:bCs/>
          <w:iCs/>
          <w:lang w:val="en-US"/>
        </w:rPr>
        <w:t xml:space="preserve">”, </w:t>
      </w:r>
      <w:r>
        <w:rPr>
          <w:bCs/>
          <w:iCs/>
          <w:lang w:val="en-GB"/>
        </w:rPr>
        <w:t>with A. Pamen Nyola and A. Sauviat, October 2019.</w:t>
      </w:r>
    </w:p>
    <w:p w:rsidR="008922A7" w:rsidRDefault="00FB5DBD" w:rsidP="00FB5DBD">
      <w:pPr>
        <w:tabs>
          <w:tab w:val="left" w:pos="1701"/>
          <w:tab w:val="left" w:pos="1927"/>
        </w:tabs>
        <w:spacing w:line="360" w:lineRule="atLeast"/>
        <w:ind w:left="840" w:hanging="220"/>
        <w:rPr>
          <w:bCs/>
          <w:iCs/>
          <w:lang w:val="en-US"/>
        </w:rPr>
      </w:pPr>
      <w:r>
        <w:rPr>
          <w:bCs/>
          <w:iCs/>
          <w:lang w:val="en-US"/>
        </w:rPr>
        <w:t>• “</w:t>
      </w:r>
      <w:r>
        <w:rPr>
          <w:bCs/>
          <w:i/>
          <w:iCs/>
          <w:lang w:val="en-US"/>
        </w:rPr>
        <w:t>Interbank network characteristics, monetary policy "News" and sensitivity of bank stock returns</w:t>
      </w:r>
      <w:r>
        <w:rPr>
          <w:bCs/>
          <w:iCs/>
          <w:lang w:val="en-US"/>
        </w:rPr>
        <w:t>” with I. Distinguin and A. Mahdavi-Ardekani, December 2019.</w:t>
      </w:r>
    </w:p>
    <w:p w:rsidR="00FB5DBD" w:rsidRDefault="008922A7" w:rsidP="008922A7">
      <w:pPr>
        <w:tabs>
          <w:tab w:val="left" w:pos="1701"/>
          <w:tab w:val="left" w:pos="1927"/>
        </w:tabs>
        <w:spacing w:line="360" w:lineRule="atLeast"/>
        <w:ind w:left="840" w:hanging="220"/>
        <w:rPr>
          <w:bCs/>
          <w:iCs/>
          <w:lang w:val="en-US"/>
        </w:rPr>
      </w:pPr>
      <w:r>
        <w:rPr>
          <w:bCs/>
          <w:iCs/>
          <w:lang w:val="en-US"/>
        </w:rPr>
        <w:t>• “</w:t>
      </w:r>
      <w:r>
        <w:rPr>
          <w:bCs/>
          <w:i/>
          <w:iCs/>
          <w:lang w:val="en-US"/>
        </w:rPr>
        <w:t>Expropriation risk vs. government bailout: implications for minority shareholders of state-owned banks</w:t>
      </w:r>
      <w:r>
        <w:rPr>
          <w:bCs/>
          <w:iCs/>
          <w:lang w:val="en-US"/>
        </w:rPr>
        <w:t xml:space="preserve">”, with A. Achsanta and L. Lepetit, December 2019.  </w:t>
      </w:r>
    </w:p>
    <w:p w:rsidR="00FB5DBD" w:rsidRDefault="00FB5DBD" w:rsidP="00FB5DBD">
      <w:pPr>
        <w:tabs>
          <w:tab w:val="left" w:pos="1701"/>
          <w:tab w:val="left" w:pos="1927"/>
        </w:tabs>
        <w:spacing w:line="360" w:lineRule="atLeast"/>
        <w:ind w:left="840" w:hanging="220"/>
        <w:rPr>
          <w:bCs/>
          <w:iCs/>
          <w:lang w:val="en-US"/>
        </w:rPr>
      </w:pPr>
      <w:r>
        <w:rPr>
          <w:bCs/>
          <w:iCs/>
          <w:lang w:val="en-US"/>
        </w:rPr>
        <w:t>• “</w:t>
      </w:r>
      <w:r>
        <w:rPr>
          <w:bCs/>
          <w:i/>
          <w:iCs/>
          <w:lang w:val="en-US"/>
        </w:rPr>
        <w:t>Liquidity Regulation and Bank Lending</w:t>
      </w:r>
      <w:r>
        <w:rPr>
          <w:bCs/>
          <w:iCs/>
          <w:lang w:val="en-US"/>
        </w:rPr>
        <w:t>”, with F. Ananou and J.Wilson, March 2020.</w:t>
      </w:r>
    </w:p>
    <w:p w:rsidR="00FB5DBD" w:rsidRDefault="00FB5DBD" w:rsidP="00FB5DBD">
      <w:pPr>
        <w:tabs>
          <w:tab w:val="left" w:pos="1701"/>
          <w:tab w:val="left" w:pos="1927"/>
        </w:tabs>
        <w:spacing w:line="360" w:lineRule="atLeast"/>
        <w:ind w:left="840" w:hanging="220"/>
        <w:rPr>
          <w:bCs/>
          <w:iCs/>
          <w:lang w:val="en-GB"/>
        </w:rPr>
      </w:pPr>
      <w:r>
        <w:rPr>
          <w:bCs/>
          <w:iCs/>
          <w:lang w:val="en-US"/>
        </w:rPr>
        <w:t>• “</w:t>
      </w:r>
      <w:r>
        <w:rPr>
          <w:bCs/>
          <w:i/>
          <w:iCs/>
          <w:lang w:val="en-GB"/>
        </w:rPr>
        <w:t>A note on regulatory responses to COVID-19 pandemic: Balancing banks’ solvency and contribution to recovery</w:t>
      </w:r>
      <w:r>
        <w:rPr>
          <w:bCs/>
          <w:iCs/>
          <w:lang w:val="en-GB"/>
        </w:rPr>
        <w:t xml:space="preserve">”, with </w:t>
      </w:r>
      <w:r>
        <w:rPr>
          <w:bCs/>
          <w:iCs/>
          <w:lang w:val="en-US"/>
        </w:rPr>
        <w:t xml:space="preserve">M. Bitar, </w:t>
      </w:r>
      <w:r>
        <w:rPr>
          <w:bCs/>
          <w:iCs/>
          <w:lang w:val="en-GB"/>
        </w:rPr>
        <w:t>June 2020.</w:t>
      </w:r>
    </w:p>
    <w:p w:rsidR="00E25360" w:rsidRPr="00E25360" w:rsidRDefault="00E25360" w:rsidP="00E25360">
      <w:pPr>
        <w:tabs>
          <w:tab w:val="left" w:pos="1701"/>
          <w:tab w:val="left" w:pos="1927"/>
        </w:tabs>
        <w:spacing w:line="360" w:lineRule="atLeast"/>
        <w:ind w:left="840" w:hanging="220"/>
        <w:rPr>
          <w:bCs/>
          <w:iCs/>
          <w:lang w:val="en-US"/>
        </w:rPr>
      </w:pPr>
      <w:r>
        <w:rPr>
          <w:bCs/>
          <w:iCs/>
          <w:lang w:val="en-US"/>
        </w:rPr>
        <w:t xml:space="preserve">• </w:t>
      </w:r>
      <w:r>
        <w:rPr>
          <w:bCs/>
          <w:i/>
          <w:iCs/>
          <w:lang w:val="en-US"/>
        </w:rPr>
        <w:t xml:space="preserve">“The Sale of Failed Banks: The Characteristics of Acquirers -as Well as of the Acquired -Matter”, </w:t>
      </w:r>
      <w:r>
        <w:rPr>
          <w:bCs/>
          <w:iCs/>
          <w:lang w:val="en-US"/>
        </w:rPr>
        <w:t>with P. Abedifar and L. White, July 2020.</w:t>
      </w:r>
    </w:p>
    <w:p w:rsidR="00E25360" w:rsidRPr="00E25360" w:rsidRDefault="00E25360" w:rsidP="00E25360">
      <w:pPr>
        <w:tabs>
          <w:tab w:val="left" w:pos="1701"/>
          <w:tab w:val="left" w:pos="1927"/>
        </w:tabs>
        <w:spacing w:line="360" w:lineRule="atLeast"/>
        <w:ind w:left="840" w:hanging="220"/>
        <w:rPr>
          <w:bCs/>
          <w:i/>
          <w:iCs/>
          <w:lang w:val="en-US"/>
        </w:rPr>
      </w:pPr>
      <w:r>
        <w:rPr>
          <w:bCs/>
          <w:iCs/>
          <w:lang w:val="en-US"/>
        </w:rPr>
        <w:t>• “</w:t>
      </w:r>
      <w:r>
        <w:rPr>
          <w:bCs/>
          <w:i/>
          <w:iCs/>
          <w:lang w:val="en-US"/>
        </w:rPr>
        <w:t xml:space="preserve">Economic uncertainty and bank stability: Conventional vs. Islamic banking”, </w:t>
      </w:r>
      <w:r>
        <w:rPr>
          <w:bCs/>
          <w:iCs/>
          <w:lang w:val="en-US"/>
        </w:rPr>
        <w:t xml:space="preserve">with M. H. Bilgin, E. Demir, and G. Ozturk Danisman, September 2020. </w:t>
      </w:r>
    </w:p>
    <w:p w:rsidR="00E25360" w:rsidRDefault="00E25360" w:rsidP="00E25360">
      <w:pPr>
        <w:tabs>
          <w:tab w:val="left" w:pos="1701"/>
          <w:tab w:val="left" w:pos="1927"/>
        </w:tabs>
        <w:spacing w:line="360" w:lineRule="atLeast"/>
        <w:ind w:left="840" w:hanging="220"/>
        <w:rPr>
          <w:bCs/>
          <w:iCs/>
          <w:lang w:val="en-US"/>
        </w:rPr>
      </w:pPr>
      <w:r>
        <w:rPr>
          <w:bCs/>
          <w:iCs/>
          <w:lang w:val="en-US"/>
        </w:rPr>
        <w:t xml:space="preserve">• </w:t>
      </w:r>
      <w:r>
        <w:rPr>
          <w:bCs/>
          <w:i/>
          <w:iCs/>
          <w:lang w:val="en-US"/>
        </w:rPr>
        <w:t xml:space="preserve">"Individualism, formal institutional environment and bank capital decisions”, </w:t>
      </w:r>
      <w:r>
        <w:rPr>
          <w:bCs/>
          <w:iCs/>
          <w:lang w:val="en-GB"/>
        </w:rPr>
        <w:t xml:space="preserve">with </w:t>
      </w:r>
      <w:r>
        <w:rPr>
          <w:bCs/>
          <w:iCs/>
          <w:lang w:val="en-US"/>
        </w:rPr>
        <w:t>M. Bitar, September 2020.</w:t>
      </w:r>
    </w:p>
    <w:p w:rsidR="009E4666" w:rsidRDefault="009E4666" w:rsidP="00E25360">
      <w:pPr>
        <w:tabs>
          <w:tab w:val="left" w:pos="1701"/>
          <w:tab w:val="left" w:pos="1927"/>
        </w:tabs>
        <w:spacing w:line="360" w:lineRule="atLeast"/>
        <w:ind w:left="840" w:hanging="220"/>
        <w:rPr>
          <w:bCs/>
          <w:iCs/>
          <w:lang w:val="en-US"/>
        </w:rPr>
      </w:pPr>
      <w:r>
        <w:rPr>
          <w:bCs/>
          <w:iCs/>
          <w:lang w:val="en-US"/>
        </w:rPr>
        <w:t>• “</w:t>
      </w:r>
      <w:r>
        <w:rPr>
          <w:bCs/>
          <w:i/>
          <w:iCs/>
          <w:lang w:val="en-US"/>
        </w:rPr>
        <w:t>Economic policy uncertainty and bank stability”</w:t>
      </w:r>
      <w:r>
        <w:rPr>
          <w:bCs/>
          <w:iCs/>
          <w:lang w:val="en-US"/>
        </w:rPr>
        <w:t>, with G. Ozturk Danisman, April 2021.</w:t>
      </w:r>
    </w:p>
    <w:p w:rsidR="009E4666" w:rsidRDefault="009E4666" w:rsidP="009E4666">
      <w:pPr>
        <w:tabs>
          <w:tab w:val="left" w:pos="1701"/>
          <w:tab w:val="left" w:pos="1927"/>
        </w:tabs>
        <w:spacing w:line="360" w:lineRule="atLeast"/>
        <w:ind w:left="840" w:hanging="220"/>
        <w:rPr>
          <w:bCs/>
          <w:iCs/>
          <w:lang w:val="en-US"/>
        </w:rPr>
      </w:pPr>
      <w:r>
        <w:rPr>
          <w:bCs/>
          <w:iCs/>
          <w:lang w:val="en-US"/>
        </w:rPr>
        <w:t xml:space="preserve">• </w:t>
      </w:r>
      <w:r>
        <w:rPr>
          <w:bCs/>
          <w:i/>
          <w:iCs/>
          <w:lang w:val="en-US"/>
        </w:rPr>
        <w:t>“Liquidity Regulation and Bank Risk”</w:t>
      </w:r>
      <w:r>
        <w:rPr>
          <w:bCs/>
          <w:iCs/>
          <w:lang w:val="en-US"/>
        </w:rPr>
        <w:t xml:space="preserve">, with F. Ananou, D. Chronopoulous and J.Wilson, July 2021. </w:t>
      </w:r>
    </w:p>
    <w:p w:rsidR="00A75BB0" w:rsidRDefault="00A75BB0" w:rsidP="00A75BB0">
      <w:pPr>
        <w:tabs>
          <w:tab w:val="left" w:pos="1701"/>
          <w:tab w:val="left" w:pos="1927"/>
        </w:tabs>
        <w:spacing w:line="360" w:lineRule="atLeast"/>
        <w:ind w:left="840" w:hanging="220"/>
        <w:rPr>
          <w:bCs/>
          <w:iCs/>
          <w:lang w:val="en-US"/>
        </w:rPr>
      </w:pPr>
      <w:r>
        <w:rPr>
          <w:bCs/>
          <w:iCs/>
          <w:lang w:val="en-US"/>
        </w:rPr>
        <w:lastRenderedPageBreak/>
        <w:t xml:space="preserve">• </w:t>
      </w:r>
      <w:r>
        <w:rPr>
          <w:bCs/>
          <w:i/>
          <w:iCs/>
          <w:lang w:val="en-US"/>
        </w:rPr>
        <w:t>« Banks’ risk clustering using k-means: a method based on size and individual &amp; systemic risks »</w:t>
      </w:r>
      <w:r>
        <w:rPr>
          <w:bCs/>
          <w:iCs/>
          <w:lang w:val="en-US"/>
        </w:rPr>
        <w:t>, with Mercadier M., Armand P. and Lardy JP, October 2021.</w:t>
      </w:r>
    </w:p>
    <w:p w:rsidR="00725370" w:rsidRPr="00725370" w:rsidRDefault="00725370" w:rsidP="00725370">
      <w:pPr>
        <w:tabs>
          <w:tab w:val="left" w:pos="1701"/>
          <w:tab w:val="left" w:pos="1927"/>
        </w:tabs>
        <w:spacing w:line="360" w:lineRule="atLeast"/>
        <w:ind w:left="840" w:hanging="220"/>
        <w:rPr>
          <w:bCs/>
          <w:iCs/>
          <w:lang w:val="en-US"/>
        </w:rPr>
      </w:pPr>
      <w:r>
        <w:rPr>
          <w:b/>
          <w:bCs/>
          <w:iCs/>
          <w:lang w:val="en-US"/>
        </w:rPr>
        <w:t xml:space="preserve">• </w:t>
      </w:r>
      <w:r>
        <w:rPr>
          <w:i/>
          <w:lang w:val="en-US"/>
        </w:rPr>
        <w:t>“</w:t>
      </w:r>
      <w:r>
        <w:rPr>
          <w:bCs/>
          <w:i/>
          <w:lang w:val="en-US"/>
        </w:rPr>
        <w:t>Relationship Banking: The Borrower’s Incentives Channel</w:t>
      </w:r>
      <w:r>
        <w:rPr>
          <w:bCs/>
          <w:iCs/>
          <w:lang w:val="en-US"/>
        </w:rPr>
        <w:t>”, with P. Abedifar, S. Kamyab, and S. Ongena, September 2024.</w:t>
      </w:r>
    </w:p>
    <w:p w:rsidR="00A75BB0" w:rsidRPr="009E4666" w:rsidRDefault="00A75BB0" w:rsidP="009E4666">
      <w:pPr>
        <w:tabs>
          <w:tab w:val="left" w:pos="1701"/>
          <w:tab w:val="left" w:pos="1927"/>
        </w:tabs>
        <w:spacing w:line="360" w:lineRule="atLeast"/>
        <w:ind w:left="840" w:hanging="220"/>
        <w:rPr>
          <w:bCs/>
          <w:iCs/>
          <w:lang w:val="en-US"/>
        </w:rPr>
      </w:pPr>
    </w:p>
    <w:p w:rsidR="00502736" w:rsidRDefault="00502736" w:rsidP="00441124">
      <w:pPr>
        <w:tabs>
          <w:tab w:val="left" w:pos="1701"/>
          <w:tab w:val="left" w:pos="1927"/>
        </w:tabs>
        <w:spacing w:line="360" w:lineRule="atLeast"/>
        <w:outlineLvl w:val="0"/>
        <w:rPr>
          <w:rFonts w:ascii="Arial" w:hAnsi="Arial" w:cs="Arial"/>
          <w:b/>
          <w:sz w:val="28"/>
          <w:u w:val="single"/>
          <w:lang w:val="en-US"/>
        </w:rPr>
      </w:pPr>
    </w:p>
    <w:p w:rsidR="000C4B81" w:rsidRPr="00EA5C49" w:rsidRDefault="000C4B81" w:rsidP="004E7906">
      <w:pPr>
        <w:tabs>
          <w:tab w:val="left" w:pos="1701"/>
          <w:tab w:val="left" w:pos="1927"/>
        </w:tabs>
        <w:spacing w:line="360" w:lineRule="atLeast"/>
        <w:ind w:left="284" w:hanging="284"/>
        <w:outlineLvl w:val="0"/>
        <w:rPr>
          <w:rFonts w:ascii="Arial" w:hAnsi="Arial" w:cs="Arial"/>
          <w:b/>
          <w:sz w:val="28"/>
          <w:u w:val="single"/>
          <w:lang w:val="en-US"/>
        </w:rPr>
      </w:pPr>
      <w:r>
        <w:rPr>
          <w:rFonts w:ascii="Arial" w:hAnsi="Arial" w:cs="Arial"/>
          <w:b/>
          <w:sz w:val="28"/>
          <w:u w:val="single"/>
          <w:lang w:val="en-US"/>
        </w:rPr>
        <w:t>Communications scientifiques</w:t>
      </w:r>
    </w:p>
    <w:p w:rsidR="000C4B81" w:rsidRPr="00EA5C49" w:rsidRDefault="000C4B81">
      <w:pPr>
        <w:spacing w:line="360" w:lineRule="atLeast"/>
        <w:ind w:left="960" w:hanging="140"/>
        <w:rPr>
          <w:lang w:val="en-US"/>
        </w:rPr>
      </w:pPr>
      <w:r>
        <w:rPr>
          <w:lang w:val="en-US"/>
        </w:rPr>
        <w:t>•</w:t>
      </w:r>
      <w:r>
        <w:rPr>
          <w:lang w:val="en-US"/>
        </w:rPr>
        <w:tab/>
      </w:r>
      <w:r>
        <w:rPr>
          <w:i/>
          <w:lang w:val="en-US"/>
        </w:rPr>
        <w:t>" An Empirical Investigation on Bank Risk in Europe "</w:t>
      </w:r>
      <w:r>
        <w:rPr>
          <w:lang w:val="en-US"/>
        </w:rPr>
        <w:t xml:space="preserve"> Workshop on Financial Reform in Poland and the evolution of a single EC Banking Market, University of Birmingham 30 April-2 May 1992.</w:t>
      </w:r>
    </w:p>
    <w:p w:rsidR="000C4B81" w:rsidRPr="00EA5C49" w:rsidRDefault="000C4B81">
      <w:pPr>
        <w:spacing w:line="360" w:lineRule="atLeast"/>
        <w:ind w:left="960" w:hanging="140"/>
        <w:rPr>
          <w:lang w:val="en-US"/>
        </w:rPr>
      </w:pPr>
      <w:r>
        <w:rPr>
          <w:lang w:val="en-US"/>
        </w:rPr>
        <w:t>•</w:t>
      </w:r>
      <w:r>
        <w:rPr>
          <w:lang w:val="en-US"/>
        </w:rPr>
        <w:tab/>
      </w:r>
      <w:r>
        <w:rPr>
          <w:i/>
          <w:lang w:val="en-US"/>
        </w:rPr>
        <w:t>" The Prevention of Bank Runs : Deposit Insurance and Capital Regulation "</w:t>
      </w:r>
      <w:r>
        <w:rPr>
          <w:lang w:val="en-US"/>
        </w:rPr>
        <w:t xml:space="preserve"> avec D.Goyeau, Workshop on Financial Reform in Central European Countries (EC-ACE project), LARE University of Bordeaux I, 25-28 March 1993.</w:t>
      </w:r>
    </w:p>
    <w:p w:rsidR="000C4B81" w:rsidRDefault="000C4B81">
      <w:pPr>
        <w:spacing w:line="360" w:lineRule="atLeast"/>
        <w:ind w:left="960" w:hanging="140"/>
      </w:pPr>
      <w:r>
        <w:t>•</w:t>
      </w:r>
      <w:r>
        <w:tab/>
      </w:r>
      <w:r>
        <w:rPr>
          <w:i/>
        </w:rPr>
        <w:t>" Responsabilité limitée et choix de portefeuille des banques "</w:t>
      </w:r>
      <w:r>
        <w:t xml:space="preserve"> avec D.Goyeau et A.Sauviat, Xèmes Journées Internationales d'Économie Monétaire et Bancaire, GDR Monnaie et Financement (CNRS), LARE (Université de Bordeaux I), 10-11 Juin 1993.</w:t>
      </w:r>
    </w:p>
    <w:p w:rsidR="000C4B81" w:rsidRDefault="000C4B81">
      <w:pPr>
        <w:spacing w:line="360" w:lineRule="atLeast"/>
        <w:ind w:left="960" w:hanging="140"/>
      </w:pPr>
      <w:r>
        <w:t>•</w:t>
      </w:r>
      <w:r>
        <w:tab/>
      </w:r>
      <w:r>
        <w:rPr>
          <w:i/>
        </w:rPr>
        <w:t>" La prévention des ruées bancaires : assurance-dépôts et réglementation des fonds propres "</w:t>
      </w:r>
      <w:r>
        <w:t xml:space="preserve"> avec D.Goyeau et A.Sauviat, Xèmes Journées Internationales d'Économie Monétaire et Bancaire, GDR Monnaie et Financement (CNRS), LARE (Université de Bordeaux I), 10-11 Juin 1993.</w:t>
      </w:r>
    </w:p>
    <w:p w:rsidR="000C4B81" w:rsidRPr="00EA5C49" w:rsidRDefault="000C4B81">
      <w:pPr>
        <w:spacing w:line="360" w:lineRule="atLeast"/>
        <w:ind w:left="960" w:hanging="140"/>
        <w:rPr>
          <w:lang w:val="en-US"/>
        </w:rPr>
      </w:pPr>
      <w:r>
        <w:rPr>
          <w:lang w:val="en-US"/>
        </w:rPr>
        <w:t>•</w:t>
      </w:r>
      <w:r>
        <w:rPr>
          <w:lang w:val="en-US"/>
        </w:rPr>
        <w:tab/>
      </w:r>
      <w:r>
        <w:rPr>
          <w:i/>
          <w:lang w:val="en-US"/>
        </w:rPr>
        <w:t>" The Prevention of Bank Runs in eastern Europe : lessons from the west "</w:t>
      </w:r>
      <w:r>
        <w:rPr>
          <w:lang w:val="en-US"/>
        </w:rPr>
        <w:t xml:space="preserve"> avec D.Goyeau, Conference on Financial Reform in Eastern Europe, Prague, 3-4 sept. 1993.</w:t>
      </w:r>
    </w:p>
    <w:p w:rsidR="000C4B81" w:rsidRDefault="000C4B81">
      <w:pPr>
        <w:spacing w:line="360" w:lineRule="atLeast"/>
        <w:ind w:left="960" w:hanging="140"/>
      </w:pPr>
      <w:r>
        <w:t>•</w:t>
      </w:r>
      <w:r>
        <w:tab/>
      </w:r>
      <w:r>
        <w:rPr>
          <w:i/>
        </w:rPr>
        <w:t xml:space="preserve">"Taille, risque et réglementation bancaire "  </w:t>
      </w:r>
      <w:r>
        <w:t>avec D.Goyeau et A.Sauviat, XIIèmes Journées Internationales d'Économie Monétaire et Bancaire, GDR Monnaie et Financement (CNRS), Nancy 15-16 Juin 1995.</w:t>
      </w:r>
    </w:p>
    <w:p w:rsidR="000C4B81" w:rsidRDefault="000C4B81">
      <w:pPr>
        <w:spacing w:line="360" w:lineRule="atLeast"/>
        <w:ind w:left="960" w:hanging="140"/>
      </w:pPr>
      <w:r>
        <w:t>•</w:t>
      </w:r>
      <w:r>
        <w:tab/>
      </w:r>
      <w:r>
        <w:rPr>
          <w:i/>
        </w:rPr>
        <w:t xml:space="preserve">"Bank size, risk and regulation " </w:t>
      </w:r>
      <w:r>
        <w:t>avec D.Goyeau et A.Sauviat, atelier "Intégration Financière Internationale" (contrat Commissariat Général du Plan), LARE Université de Bordeaux IV, 3-4 Juin 1996.</w:t>
      </w:r>
    </w:p>
    <w:p w:rsidR="000C4B81" w:rsidRPr="00EA5C49" w:rsidRDefault="000C4B81">
      <w:pPr>
        <w:spacing w:line="360" w:lineRule="atLeast"/>
        <w:ind w:left="960" w:hanging="140"/>
        <w:rPr>
          <w:b/>
          <w:i/>
          <w:lang w:val="en-US"/>
        </w:rPr>
      </w:pPr>
      <w:r>
        <w:rPr>
          <w:lang w:val="en-US"/>
        </w:rPr>
        <w:t>•</w:t>
      </w:r>
      <w:r>
        <w:rPr>
          <w:lang w:val="en-US"/>
        </w:rPr>
        <w:tab/>
      </w:r>
      <w:r>
        <w:rPr>
          <w:i/>
          <w:lang w:val="en-US"/>
        </w:rPr>
        <w:t>" The impact of Banking regulation on structure and performance: the case of Central and Eastern European Countries"</w:t>
      </w:r>
      <w:r>
        <w:rPr>
          <w:lang w:val="en-US"/>
        </w:rPr>
        <w:t xml:space="preserve"> , with C. Gondat Larralde, Conference on Economic Performance and Financial Sector Reform in Central and Eastern European Countries, Tallin, 20-21 Sept. 1996.</w:t>
      </w:r>
    </w:p>
    <w:p w:rsidR="000C4B81" w:rsidRDefault="000C4B81">
      <w:pPr>
        <w:spacing w:line="360" w:lineRule="atLeast"/>
        <w:ind w:left="960" w:hanging="140"/>
      </w:pPr>
      <w:r>
        <w:t>•</w:t>
      </w:r>
      <w:r>
        <w:tab/>
      </w:r>
      <w:r>
        <w:rPr>
          <w:i/>
        </w:rPr>
        <w:t xml:space="preserve">"Ajustements des résultats bancaires aux taux d'intérêt : le cas du G5 "  </w:t>
      </w:r>
      <w:r>
        <w:t>avec D.Goyeau et A.Sauviat, présenté :</w:t>
      </w:r>
    </w:p>
    <w:p w:rsidR="000C4B81" w:rsidRDefault="000C4B81" w:rsidP="005D1177">
      <w:pPr>
        <w:ind w:left="960" w:hanging="140"/>
      </w:pPr>
      <w:r>
        <w:tab/>
      </w:r>
      <w:r>
        <w:tab/>
        <w:t xml:space="preserve">- au colloque Firme bancaire, Spécificité et Enjeux, Evry 30-31 Janvier 1997  </w:t>
      </w:r>
    </w:p>
    <w:p w:rsidR="000C4B81" w:rsidRDefault="000C4B81" w:rsidP="005D1177">
      <w:pPr>
        <w:ind w:left="960" w:hanging="140"/>
      </w:pPr>
      <w:r>
        <w:tab/>
      </w:r>
      <w:r>
        <w:tab/>
        <w:t xml:space="preserve">- à la conférence Intégration Financière Internationale, Régionalisation des Systèmes </w:t>
      </w:r>
      <w:r>
        <w:tab/>
        <w:t xml:space="preserve">Financiers et Performances Macroéconomiques,  LARE Université de Bordeaux IV, </w:t>
      </w:r>
      <w:r>
        <w:tab/>
        <w:t>10 Mars 1997.</w:t>
      </w:r>
    </w:p>
    <w:p w:rsidR="000C4B81" w:rsidRDefault="000C4B81">
      <w:pPr>
        <w:spacing w:line="360" w:lineRule="atLeast"/>
        <w:ind w:left="960" w:hanging="140"/>
      </w:pPr>
      <w:r>
        <w:t>•</w:t>
      </w:r>
      <w:r>
        <w:tab/>
      </w:r>
      <w:r>
        <w:rPr>
          <w:i/>
        </w:rPr>
        <w:t xml:space="preserve">"Rentabilité bancaire, structure par terme et volatilité des taux d'intérêt  : une étude des principaux systèmes bancaires européens"  </w:t>
      </w:r>
      <w:r>
        <w:t xml:space="preserve">avec D.Goyeau et A.Sauviat, XIVèmes </w:t>
      </w:r>
      <w:r>
        <w:lastRenderedPageBreak/>
        <w:t>Journées Internationales d'Économie Monétaire et Bancaire, GDR Monnaie et Financement (CNRS), Orléans 5-6 Juin 1997.</w:t>
      </w:r>
    </w:p>
    <w:p w:rsidR="000C4B81" w:rsidRDefault="000C4B81">
      <w:pPr>
        <w:spacing w:line="360" w:lineRule="atLeast"/>
        <w:ind w:left="960" w:hanging="140"/>
      </w:pPr>
      <w:r>
        <w:t>•</w:t>
      </w:r>
      <w:r>
        <w:tab/>
      </w:r>
      <w:r>
        <w:rPr>
          <w:i/>
        </w:rPr>
        <w:t xml:space="preserve">"Structure de marché et performances bancaires : analyse empirique des PECO", </w:t>
      </w:r>
      <w:r>
        <w:t>avec C. Gondat-Larralde et L. Lepetit, Colloque "intégration des PECO à l'espace européen", Prague, 26-27 Mai 1998.</w:t>
      </w:r>
    </w:p>
    <w:p w:rsidR="000C4B81" w:rsidRDefault="000C4B81">
      <w:pPr>
        <w:spacing w:line="360" w:lineRule="atLeast"/>
        <w:ind w:left="960" w:hanging="140"/>
      </w:pPr>
      <w:r>
        <w:t>•</w:t>
      </w:r>
      <w:r>
        <w:tab/>
      </w:r>
      <w:r>
        <w:rPr>
          <w:i/>
        </w:rPr>
        <w:t xml:space="preserve">"Risque et marges d'intérêt des banques d'Europe centrale et Orientale: impact de l'harmonisation prudentielle et de la libéralisation financière"  </w:t>
      </w:r>
      <w:r>
        <w:t>avec D.Goyeau et A.Sauviat, présenté :</w:t>
      </w:r>
    </w:p>
    <w:p w:rsidR="000C4B81" w:rsidRDefault="005D1177" w:rsidP="005D1177">
      <w:pPr>
        <w:ind w:left="960"/>
      </w:pPr>
      <w:r>
        <w:tab/>
        <w:t xml:space="preserve">- aux XVèmes Journées Internationales d'Économie Monétaire et Bancaire, GDR </w:t>
      </w:r>
      <w:r>
        <w:tab/>
        <w:t>Monnaie et Financement (CNRS), Toulouse 4-5 Juin 1998.</w:t>
      </w:r>
    </w:p>
    <w:p w:rsidR="000C4B81" w:rsidRDefault="005D1177" w:rsidP="005D1177">
      <w:pPr>
        <w:ind w:left="960"/>
      </w:pPr>
      <w:r>
        <w:tab/>
        <w:t xml:space="preserve">- au colloque "intégration des PECO à l'espace européen", CEFI-CDC, Prague 15-16 </w:t>
      </w:r>
      <w:r>
        <w:tab/>
        <w:t>septembre 1998.</w:t>
      </w:r>
    </w:p>
    <w:p w:rsidR="000C4B81" w:rsidRPr="00EA5C49" w:rsidRDefault="000C4B81">
      <w:pPr>
        <w:spacing w:line="360" w:lineRule="atLeast"/>
        <w:ind w:left="960" w:hanging="140"/>
        <w:rPr>
          <w:lang w:val="en-US"/>
        </w:rPr>
      </w:pPr>
      <w:r>
        <w:rPr>
          <w:lang w:val="en-US"/>
        </w:rPr>
        <w:t>•</w:t>
      </w:r>
      <w:r>
        <w:rPr>
          <w:lang w:val="en-US"/>
        </w:rPr>
        <w:tab/>
      </w:r>
      <w:r>
        <w:rPr>
          <w:i/>
          <w:lang w:val="en-US"/>
        </w:rPr>
        <w:t>"Risk and Optimal Interest Margins : the Case of Commercial Banks in Central Europe"</w:t>
      </w:r>
      <w:r>
        <w:rPr>
          <w:lang w:val="en-US"/>
        </w:rPr>
        <w:t>:</w:t>
      </w:r>
    </w:p>
    <w:p w:rsidR="000C4B81" w:rsidRPr="00EA5C49" w:rsidRDefault="005D1177" w:rsidP="005D1177">
      <w:pPr>
        <w:ind w:left="960"/>
        <w:rPr>
          <w:lang w:val="en-US"/>
        </w:rPr>
      </w:pPr>
      <w:r>
        <w:rPr>
          <w:lang w:val="en-US"/>
        </w:rPr>
        <w:tab/>
        <w:t xml:space="preserve">-Workshop on Financial Integration between the EU and the Transition Economies </w:t>
      </w:r>
      <w:r>
        <w:rPr>
          <w:lang w:val="en-US"/>
        </w:rPr>
        <w:tab/>
        <w:t>of Central and Eastern Europe, Riga 3-4 July 1998.</w:t>
      </w:r>
    </w:p>
    <w:p w:rsidR="000C4B81" w:rsidRPr="00EA5C49" w:rsidRDefault="005D1177" w:rsidP="005D1177">
      <w:pPr>
        <w:ind w:left="960"/>
        <w:rPr>
          <w:lang w:val="en-US"/>
        </w:rPr>
      </w:pPr>
      <w:r>
        <w:rPr>
          <w:lang w:val="en-US"/>
        </w:rPr>
        <w:tab/>
        <w:t xml:space="preserve">-Conference on Financial Integration between the EU and the Transition Economies </w:t>
      </w:r>
      <w:r>
        <w:rPr>
          <w:lang w:val="en-US"/>
        </w:rPr>
        <w:tab/>
        <w:t>of Central and Eastern Europe, Bordeaux 9-10 April 1999.</w:t>
      </w:r>
    </w:p>
    <w:p w:rsidR="000C4B81" w:rsidRDefault="000C4B81">
      <w:pPr>
        <w:spacing w:line="360" w:lineRule="atLeast"/>
        <w:ind w:left="960"/>
      </w:pPr>
      <w:r>
        <w:t>•</w:t>
      </w:r>
      <w:r>
        <w:rPr>
          <w:i/>
        </w:rPr>
        <w:t>" Marché financier évaluation du risque bancaire : les agences de notation contribuent-elles à améliorer la discipline de marché"</w:t>
      </w:r>
      <w:r>
        <w:t xml:space="preserve"> avec D. Goyeau et A. Sauviat, colloque « Reconstruire l’architecture du système financier international », CDC-CEFI-CEPII, Sienne 23-24 mai 2000.</w:t>
      </w:r>
    </w:p>
    <w:p w:rsidR="002445D1" w:rsidRPr="00EA5C49" w:rsidRDefault="000C4B81">
      <w:pPr>
        <w:spacing w:line="360" w:lineRule="atLeast"/>
        <w:ind w:left="960"/>
        <w:rPr>
          <w:iCs/>
          <w:lang w:val="en-US"/>
        </w:rPr>
      </w:pPr>
      <w:r>
        <w:rPr>
          <w:lang w:val="en-US"/>
        </w:rPr>
        <w:t>•</w:t>
      </w:r>
      <w:r>
        <w:rPr>
          <w:i/>
          <w:lang w:val="en-US"/>
        </w:rPr>
        <w:t>" Bank stock returns and asymmetric information in Banking "</w:t>
      </w:r>
      <w:r>
        <w:rPr>
          <w:lang w:val="en-US"/>
        </w:rPr>
        <w:t xml:space="preserve"> , with C. Crouzille and L. Lepetit, </w:t>
      </w:r>
      <w:r>
        <w:rPr>
          <w:bCs/>
          <w:i/>
          <w:lang w:val="en-US"/>
        </w:rPr>
        <w:t>2</w:t>
      </w:r>
      <w:r>
        <w:rPr>
          <w:bCs/>
          <w:i/>
          <w:vertAlign w:val="superscript"/>
          <w:lang w:val="en-US"/>
        </w:rPr>
        <w:t>nd</w:t>
      </w:r>
      <w:r>
        <w:rPr>
          <w:lang w:val="en-US"/>
        </w:rPr>
        <w:t xml:space="preserve"> International Conference  in Finance</w:t>
      </w:r>
      <w:r>
        <w:rPr>
          <w:i/>
          <w:lang w:val="en-US"/>
        </w:rPr>
        <w:t xml:space="preserve">, AFFI, </w:t>
      </w:r>
      <w:r>
        <w:rPr>
          <w:iCs/>
          <w:lang w:val="en-US"/>
        </w:rPr>
        <w:t>13-15 March 2003, Hammamet.</w:t>
      </w:r>
    </w:p>
    <w:p w:rsidR="000C4B81" w:rsidRPr="00EA5C49" w:rsidRDefault="000C4B81">
      <w:pPr>
        <w:spacing w:line="360" w:lineRule="atLeast"/>
        <w:ind w:left="960"/>
        <w:rPr>
          <w:lang w:val="en-US"/>
        </w:rPr>
      </w:pPr>
      <w:r>
        <w:rPr>
          <w:lang w:val="en-US"/>
        </w:rPr>
        <w:t xml:space="preserve">• </w:t>
      </w:r>
      <w:r>
        <w:rPr>
          <w:i/>
          <w:iCs/>
          <w:lang w:val="en-US"/>
        </w:rPr>
        <w:t>“Bank stock volatility, news and asymmetric information in Banking : an empirical investigation”</w:t>
      </w:r>
      <w:r>
        <w:rPr>
          <w:lang w:val="en-US"/>
        </w:rPr>
        <w:t xml:space="preserve"> , with C. Crouzille and L. Lepetit :</w:t>
      </w:r>
    </w:p>
    <w:p w:rsidR="000C4B81" w:rsidRDefault="000C4B81" w:rsidP="005D1177">
      <w:pPr>
        <w:ind w:left="1134"/>
      </w:pPr>
      <w:r>
        <w:t xml:space="preserve">- aux </w:t>
      </w:r>
      <w:r>
        <w:rPr>
          <w:bCs/>
        </w:rPr>
        <w:t>XX</w:t>
      </w:r>
      <w:r>
        <w:rPr>
          <w:bCs/>
          <w:vertAlign w:val="superscript"/>
        </w:rPr>
        <w:t>èmes</w:t>
      </w:r>
      <w:r>
        <w:rPr>
          <w:bCs/>
        </w:rPr>
        <w:t xml:space="preserve"> Journées Internationales d’Economie Monétaire et Bancaire</w:t>
      </w:r>
      <w:r>
        <w:t>, GDR Monnaie-Finance (CNRS),  Birmingham (UK), 5-6 Juin 2003.</w:t>
      </w:r>
    </w:p>
    <w:p w:rsidR="000C4B81" w:rsidRDefault="000C4B81" w:rsidP="005D1177">
      <w:pPr>
        <w:numPr>
          <w:ilvl w:val="0"/>
          <w:numId w:val="3"/>
        </w:numPr>
        <w:tabs>
          <w:tab w:val="clear" w:pos="1320"/>
        </w:tabs>
        <w:ind w:left="1134" w:firstLine="0"/>
      </w:pPr>
      <w:r>
        <w:t>Au Workshop « L’actualité de la banque et de la Finance »</w:t>
      </w:r>
      <w:r>
        <w:rPr>
          <w:i/>
          <w:iCs/>
        </w:rPr>
        <w:t>,</w:t>
      </w:r>
      <w:r>
        <w:t xml:space="preserve"> 11-12 juin 2003, Nancy.</w:t>
      </w:r>
    </w:p>
    <w:p w:rsidR="000C4B81" w:rsidRDefault="000C4B81" w:rsidP="005D1177">
      <w:pPr>
        <w:numPr>
          <w:ilvl w:val="0"/>
          <w:numId w:val="3"/>
        </w:numPr>
        <w:tabs>
          <w:tab w:val="clear" w:pos="1320"/>
        </w:tabs>
        <w:ind w:left="1134" w:firstLine="0"/>
        <w:rPr>
          <w:lang w:val="en-GB"/>
        </w:rPr>
      </w:pPr>
      <w:r>
        <w:rPr>
          <w:lang w:val="en-GB"/>
        </w:rPr>
        <w:t>Accepted for the 16th Australasian Finance &amp; Banking Conference, Sydney,  15-18 December 2003.</w:t>
      </w:r>
    </w:p>
    <w:p w:rsidR="000C4B81" w:rsidRDefault="000C4B81" w:rsidP="000970D6">
      <w:pPr>
        <w:spacing w:line="360" w:lineRule="atLeast"/>
        <w:ind w:left="964" w:hanging="142"/>
      </w:pPr>
      <w:r>
        <w:t xml:space="preserve">• </w:t>
      </w:r>
      <w:r>
        <w:rPr>
          <w:i/>
        </w:rPr>
        <w:t>"</w:t>
      </w:r>
      <w:r>
        <w:rPr>
          <w:bCs/>
          <w:i/>
          <w:iCs/>
        </w:rPr>
        <w:t>La prédiction des détériorations financières des banques :  quel est l’apport de l’information de marché ?</w:t>
      </w:r>
      <w:r>
        <w:rPr>
          <w:i/>
          <w:iCs/>
        </w:rPr>
        <w:t>»</w:t>
      </w:r>
      <w:r>
        <w:t xml:space="preserve">, en collaboration avec I. Distinguin et Ph. </w:t>
      </w:r>
      <w:r>
        <w:rPr>
          <w:lang w:val="en-GB"/>
        </w:rPr>
        <w:t>Rous</w:t>
      </w:r>
      <w:r>
        <w:t xml:space="preserve">, </w:t>
      </w:r>
    </w:p>
    <w:p w:rsidR="000C4B81" w:rsidRPr="00EA5C49" w:rsidRDefault="000C4B81" w:rsidP="000C1581">
      <w:pPr>
        <w:numPr>
          <w:ilvl w:val="0"/>
          <w:numId w:val="3"/>
        </w:numPr>
        <w:rPr>
          <w:iCs/>
          <w:lang w:val="en-US"/>
        </w:rPr>
      </w:pPr>
      <w:r>
        <w:rPr>
          <w:bCs/>
          <w:i/>
          <w:lang w:val="en-US"/>
        </w:rPr>
        <w:t>3</w:t>
      </w:r>
      <w:r>
        <w:rPr>
          <w:bCs/>
          <w:i/>
          <w:vertAlign w:val="superscript"/>
          <w:lang w:val="en-US"/>
        </w:rPr>
        <w:t>rd</w:t>
      </w:r>
      <w:r>
        <w:rPr>
          <w:lang w:val="en-US"/>
        </w:rPr>
        <w:t xml:space="preserve"> International Conference in Finance</w:t>
      </w:r>
      <w:r>
        <w:rPr>
          <w:i/>
          <w:lang w:val="en-US"/>
        </w:rPr>
        <w:t xml:space="preserve">, AFFI, </w:t>
      </w:r>
      <w:r>
        <w:rPr>
          <w:iCs/>
          <w:lang w:val="en-US"/>
        </w:rPr>
        <w:t>3-4-5 March 2005, Hammamet.</w:t>
      </w:r>
    </w:p>
    <w:p w:rsidR="000C4B81" w:rsidRDefault="000C4B81" w:rsidP="000C1581">
      <w:pPr>
        <w:numPr>
          <w:ilvl w:val="0"/>
          <w:numId w:val="3"/>
        </w:numPr>
        <w:rPr>
          <w:iCs/>
        </w:rPr>
      </w:pPr>
      <w:r>
        <w:rPr>
          <w:bCs/>
          <w:iCs/>
        </w:rPr>
        <w:t>Séminaire du CEDO, LEREPS, Université de Touloluse1, 18 mars 2005</w:t>
      </w:r>
      <w:r>
        <w:rPr>
          <w:bCs/>
          <w:i/>
        </w:rPr>
        <w:t>.</w:t>
      </w:r>
    </w:p>
    <w:p w:rsidR="000C4B81" w:rsidRDefault="000C4B81" w:rsidP="000970D6">
      <w:pPr>
        <w:spacing w:line="360" w:lineRule="atLeast"/>
        <w:ind w:left="907" w:hanging="142"/>
        <w:rPr>
          <w:lang w:val="en-GB"/>
        </w:rPr>
      </w:pPr>
      <w:r>
        <w:rPr>
          <w:lang w:val="en-GB"/>
        </w:rPr>
        <w:t xml:space="preserve">• </w:t>
      </w:r>
      <w:r>
        <w:rPr>
          <w:i/>
          <w:lang w:val="en-GB"/>
        </w:rPr>
        <w:t>"</w:t>
      </w:r>
      <w:r>
        <w:rPr>
          <w:bCs/>
          <w:i/>
          <w:iCs/>
          <w:lang w:val="en-GB"/>
        </w:rPr>
        <w:t>Market Discipline and the Use of Stock Market Data to Predict Bank Financial Distress »</w:t>
      </w:r>
      <w:r>
        <w:rPr>
          <w:lang w:val="en-GB"/>
        </w:rPr>
        <w:t xml:space="preserve"> with I. Distinguin and Ph. Rous, </w:t>
      </w:r>
    </w:p>
    <w:p w:rsidR="000C4B81" w:rsidRDefault="000C4B81" w:rsidP="000C1581">
      <w:pPr>
        <w:ind w:left="1320" w:hanging="360"/>
        <w:rPr>
          <w:lang w:val="en-GB"/>
        </w:rPr>
      </w:pPr>
      <w:r>
        <w:rPr>
          <w:lang w:val="en-GB"/>
        </w:rPr>
        <w:t xml:space="preserve">- </w:t>
      </w:r>
      <w:r>
        <w:rPr>
          <w:lang w:val="en-GB"/>
        </w:rPr>
        <w:tab/>
      </w:r>
      <w:r>
        <w:rPr>
          <w:lang w:val="en-US"/>
        </w:rPr>
        <w:t>22nd Symposium on Banking and Monetary Economics, Strasbourg, 16-17 June 2005.</w:t>
      </w:r>
    </w:p>
    <w:p w:rsidR="000C4B81" w:rsidRDefault="000C4B81" w:rsidP="000C1581">
      <w:pPr>
        <w:numPr>
          <w:ilvl w:val="0"/>
          <w:numId w:val="3"/>
        </w:numPr>
        <w:rPr>
          <w:lang w:val="en-GB"/>
        </w:rPr>
      </w:pPr>
      <w:r>
        <w:rPr>
          <w:lang w:val="en-GB"/>
        </w:rPr>
        <w:t>12</w:t>
      </w:r>
      <w:r>
        <w:rPr>
          <w:vertAlign w:val="superscript"/>
          <w:lang w:val="en-GB"/>
        </w:rPr>
        <w:t>th</w:t>
      </w:r>
      <w:r>
        <w:rPr>
          <w:lang w:val="en-GB"/>
        </w:rPr>
        <w:t xml:space="preserve"> Global Finance Conference (GFC), Dublin, 27-29 June 2005.</w:t>
      </w:r>
    </w:p>
    <w:p w:rsidR="000C4B81" w:rsidRDefault="000C4B81" w:rsidP="000C1581">
      <w:pPr>
        <w:numPr>
          <w:ilvl w:val="0"/>
          <w:numId w:val="3"/>
        </w:numPr>
      </w:pPr>
      <w:r>
        <w:rPr>
          <w:szCs w:val="36"/>
        </w:rPr>
        <w:t>XXII</w:t>
      </w:r>
      <w:r>
        <w:rPr>
          <w:szCs w:val="36"/>
          <w:vertAlign w:val="superscript"/>
        </w:rPr>
        <w:t>th</w:t>
      </w:r>
      <w:r>
        <w:rPr>
          <w:szCs w:val="36"/>
        </w:rPr>
        <w:t xml:space="preserve"> AFFI International Meeting </w:t>
      </w:r>
      <w:r>
        <w:t>AFFI, Paris La Défense,  27- 28 June 2005.</w:t>
      </w:r>
    </w:p>
    <w:p w:rsidR="000C4B81" w:rsidRDefault="000C4B81" w:rsidP="000C1581">
      <w:pPr>
        <w:numPr>
          <w:ilvl w:val="0"/>
          <w:numId w:val="3"/>
        </w:numPr>
        <w:rPr>
          <w:lang w:val="en-GB"/>
        </w:rPr>
      </w:pPr>
      <w:r>
        <w:rPr>
          <w:lang w:val="en-GB"/>
        </w:rPr>
        <w:t>The Wolpertinger Conference, London, 31 Aug-3 Sep, 2005.</w:t>
      </w:r>
    </w:p>
    <w:p w:rsidR="000C4B81" w:rsidRDefault="000C4B81" w:rsidP="000C1581">
      <w:pPr>
        <w:numPr>
          <w:ilvl w:val="0"/>
          <w:numId w:val="3"/>
        </w:numPr>
        <w:rPr>
          <w:lang w:val="en-GB"/>
        </w:rPr>
      </w:pPr>
      <w:r>
        <w:rPr>
          <w:lang w:val="en-GB"/>
        </w:rPr>
        <w:t>18th Australasian Finance &amp; Banking Conference, Sydney,  14-16 December 2005</w:t>
      </w:r>
    </w:p>
    <w:p w:rsidR="000C4B81" w:rsidRDefault="000C4B81" w:rsidP="000970D6">
      <w:pPr>
        <w:tabs>
          <w:tab w:val="left" w:pos="1701"/>
          <w:tab w:val="left" w:pos="1927"/>
        </w:tabs>
        <w:spacing w:line="360" w:lineRule="atLeast"/>
        <w:ind w:left="850" w:hanging="220"/>
        <w:rPr>
          <w:lang w:val="en-GB"/>
        </w:rPr>
      </w:pPr>
      <w:r>
        <w:rPr>
          <w:lang w:val="en-GB"/>
        </w:rPr>
        <w:tab/>
        <w:t>•  “</w:t>
      </w:r>
      <w:r>
        <w:rPr>
          <w:i/>
          <w:iCs/>
          <w:lang w:val="en-GB"/>
        </w:rPr>
        <w:t xml:space="preserve">Reaction of European Bank stock prices to events of the Asian and Russian Financial crises” </w:t>
      </w:r>
      <w:r>
        <w:rPr>
          <w:lang w:val="en-GB"/>
        </w:rPr>
        <w:t>with C. Crouzille and L. Lepetit,</w:t>
      </w:r>
    </w:p>
    <w:p w:rsidR="000C4B81" w:rsidRPr="00EA5C49" w:rsidRDefault="000C4B81" w:rsidP="000C1581">
      <w:pPr>
        <w:numPr>
          <w:ilvl w:val="0"/>
          <w:numId w:val="3"/>
        </w:numPr>
        <w:tabs>
          <w:tab w:val="left" w:pos="1701"/>
          <w:tab w:val="left" w:pos="1927"/>
        </w:tabs>
        <w:rPr>
          <w:lang w:val="en-US"/>
        </w:rPr>
      </w:pPr>
      <w:r>
        <w:rPr>
          <w:lang w:val="en-US"/>
        </w:rPr>
        <w:t>22nd Symposium on Banking and Monetary Economics, Strasbourg 16-17 June 2005.</w:t>
      </w:r>
    </w:p>
    <w:p w:rsidR="000C4B81" w:rsidRDefault="000C4B81" w:rsidP="000C1581">
      <w:pPr>
        <w:numPr>
          <w:ilvl w:val="0"/>
          <w:numId w:val="3"/>
        </w:numPr>
        <w:tabs>
          <w:tab w:val="left" w:pos="1701"/>
          <w:tab w:val="left" w:pos="1927"/>
        </w:tabs>
        <w:rPr>
          <w:u w:val="single"/>
          <w:lang w:val="en-GB"/>
        </w:rPr>
      </w:pPr>
      <w:r>
        <w:lastRenderedPageBreak/>
        <w:t>4</w:t>
      </w:r>
      <w:r>
        <w:rPr>
          <w:vertAlign w:val="superscript"/>
        </w:rPr>
        <w:t>th</w:t>
      </w:r>
      <w:r>
        <w:t xml:space="preserve"> INFINITI Conference on International Finance, Dublin, 12-13 June 2006. </w:t>
      </w:r>
    </w:p>
    <w:p w:rsidR="000C4B81" w:rsidRDefault="000C4B81" w:rsidP="000970D6">
      <w:pPr>
        <w:spacing w:line="360" w:lineRule="atLeast"/>
        <w:ind w:left="794"/>
      </w:pPr>
      <w:r>
        <w:rPr>
          <w:lang w:val="en-GB"/>
        </w:rPr>
        <w:t xml:space="preserve">• </w:t>
      </w:r>
      <w:r>
        <w:rPr>
          <w:lang w:val="en-US"/>
        </w:rPr>
        <w:t xml:space="preserve"> </w:t>
      </w:r>
      <w:r>
        <w:rPr>
          <w:i/>
          <w:iCs/>
          <w:lang w:val="en-US"/>
        </w:rPr>
        <w:t>“Activity Diversification, bank risk and loan pricing”</w:t>
      </w:r>
      <w:r>
        <w:rPr>
          <w:lang w:val="en-US"/>
        </w:rPr>
        <w:t xml:space="preserve"> co-written with L. Lepetit, E. Nys and Ph. </w:t>
      </w:r>
      <w:r>
        <w:t xml:space="preserve">Rous, </w:t>
      </w:r>
    </w:p>
    <w:p w:rsidR="000C4B81" w:rsidRPr="00EA5C49" w:rsidRDefault="000C4B81" w:rsidP="000C1581">
      <w:pPr>
        <w:numPr>
          <w:ilvl w:val="0"/>
          <w:numId w:val="3"/>
        </w:numPr>
        <w:rPr>
          <w:lang w:val="en-US"/>
        </w:rPr>
      </w:pPr>
      <w:r>
        <w:rPr>
          <w:lang w:val="en-US"/>
        </w:rPr>
        <w:t>22nd Symposium on Banking and Monetary Economics, Strasbourg, 16-17 June 2005.</w:t>
      </w:r>
    </w:p>
    <w:p w:rsidR="000C4B81" w:rsidRDefault="000C4B81" w:rsidP="000C1581">
      <w:pPr>
        <w:numPr>
          <w:ilvl w:val="0"/>
          <w:numId w:val="3"/>
        </w:numPr>
        <w:rPr>
          <w:lang w:val="en-GB"/>
        </w:rPr>
      </w:pPr>
      <w:r>
        <w:rPr>
          <w:lang w:val="en-GB"/>
        </w:rPr>
        <w:t>12</w:t>
      </w:r>
      <w:r>
        <w:rPr>
          <w:vertAlign w:val="superscript"/>
          <w:lang w:val="en-GB"/>
        </w:rPr>
        <w:t>th</w:t>
      </w:r>
      <w:r>
        <w:rPr>
          <w:lang w:val="en-GB"/>
        </w:rPr>
        <w:t xml:space="preserve"> Global Finance Conference (GFC), Dublin, 27-29 June 2005.</w:t>
      </w:r>
    </w:p>
    <w:p w:rsidR="000C4B81" w:rsidRDefault="000C4B81">
      <w:pPr>
        <w:pStyle w:val="Retraitcorpsdetexte"/>
        <w:ind w:left="840"/>
      </w:pPr>
      <w:r>
        <w:t>•  « Contrôle prudentiel et détection des difficultés financières des banques : quel est l'apport de l’information de marché ? » avec I. Distinguin et Ph. Rous, 54ème Congrès de l'AFSE, Paris, 15, 16 et 17 Septembre 2005.</w:t>
      </w:r>
    </w:p>
    <w:p w:rsidR="000C4B81" w:rsidRPr="00E048CD" w:rsidRDefault="000C4B81">
      <w:pPr>
        <w:pStyle w:val="Retraitcorpsdetexte"/>
        <w:ind w:left="840"/>
      </w:pPr>
      <w:r>
        <w:t xml:space="preserve">• </w:t>
      </w:r>
      <w:r>
        <w:rPr>
          <w:i/>
          <w:iCs/>
        </w:rPr>
        <w:t>“ Product diversification in the European banking industry : Risk and loan pricing implications”</w:t>
      </w:r>
    </w:p>
    <w:p w:rsidR="000C4B81" w:rsidRDefault="000C4B81" w:rsidP="000C1581">
      <w:pPr>
        <w:pStyle w:val="Retraitcorpsdetexte"/>
        <w:numPr>
          <w:ilvl w:val="0"/>
          <w:numId w:val="3"/>
        </w:numPr>
        <w:spacing w:line="240" w:lineRule="auto"/>
        <w:rPr>
          <w:lang w:val="en-GB"/>
        </w:rPr>
      </w:pPr>
      <w:r>
        <w:rPr>
          <w:lang w:val="en-GB"/>
        </w:rPr>
        <w:t>2006 FMA European Conference, Stockholm, 7-10 June 2006.</w:t>
      </w:r>
    </w:p>
    <w:p w:rsidR="000C4B81" w:rsidRDefault="000C4B81" w:rsidP="000C1581">
      <w:pPr>
        <w:pStyle w:val="Retraitcorpsdetexte"/>
        <w:numPr>
          <w:ilvl w:val="0"/>
          <w:numId w:val="3"/>
        </w:numPr>
        <w:spacing w:line="240" w:lineRule="auto"/>
        <w:rPr>
          <w:lang w:val="en-GB"/>
        </w:rPr>
      </w:pPr>
      <w:r>
        <w:rPr>
          <w:lang w:val="en-GB"/>
        </w:rPr>
        <w:t>Accepted but not presented JBF 30</w:t>
      </w:r>
      <w:r>
        <w:rPr>
          <w:vertAlign w:val="superscript"/>
          <w:lang w:val="en-GB"/>
        </w:rPr>
        <w:t>th</w:t>
      </w:r>
      <w:r>
        <w:rPr>
          <w:lang w:val="en-GB"/>
        </w:rPr>
        <w:t xml:space="preserve"> Anniversary Conference, Beijing, 6-8 June 2006.</w:t>
      </w:r>
    </w:p>
    <w:p w:rsidR="000C4B81" w:rsidRDefault="000C4B81" w:rsidP="000C1581">
      <w:pPr>
        <w:pStyle w:val="Retraitcorpsdetexte"/>
        <w:numPr>
          <w:ilvl w:val="0"/>
          <w:numId w:val="3"/>
        </w:numPr>
        <w:spacing w:line="240" w:lineRule="auto"/>
        <w:rPr>
          <w:lang w:val="en-GB"/>
        </w:rPr>
      </w:pPr>
      <w:r>
        <w:rPr>
          <w:lang w:val="en-GB"/>
        </w:rPr>
        <w:t>Wolpertinger Conference, Valladolid, 30 August-2 September 2006.</w:t>
      </w:r>
    </w:p>
    <w:p w:rsidR="000C4B81" w:rsidRDefault="000C4B81" w:rsidP="000C1581">
      <w:pPr>
        <w:pStyle w:val="Retraitcorpsdetexte"/>
        <w:numPr>
          <w:ilvl w:val="0"/>
          <w:numId w:val="3"/>
        </w:numPr>
        <w:spacing w:line="240" w:lineRule="auto"/>
        <w:rPr>
          <w:lang w:val="en-GB"/>
        </w:rPr>
      </w:pPr>
      <w:r>
        <w:rPr>
          <w:lang w:val="en-GB"/>
        </w:rPr>
        <w:t>FDIC-JFRS 6</w:t>
      </w:r>
      <w:r>
        <w:rPr>
          <w:vertAlign w:val="superscript"/>
          <w:lang w:val="en-GB"/>
        </w:rPr>
        <w:t>th</w:t>
      </w:r>
      <w:r>
        <w:rPr>
          <w:lang w:val="en-GB"/>
        </w:rPr>
        <w:t xml:space="preserve"> Annual Bank Research Conference, Washington DC, Arlington, Virginia 13-15 September 2006.</w:t>
      </w:r>
    </w:p>
    <w:p w:rsidR="000C4B81" w:rsidRDefault="000C4B81">
      <w:pPr>
        <w:spacing w:line="360" w:lineRule="atLeast"/>
        <w:ind w:left="851" w:hanging="142"/>
        <w:rPr>
          <w:lang w:val="en-GB"/>
        </w:rPr>
      </w:pPr>
      <w:r>
        <w:rPr>
          <w:lang w:val="en-GB"/>
        </w:rPr>
        <w:t>• “</w:t>
      </w:r>
      <w:r>
        <w:rPr>
          <w:i/>
          <w:iCs/>
          <w:lang w:val="en-GB"/>
        </w:rPr>
        <w:t>The determinants of  bank contagion risk in South East Asia</w:t>
      </w:r>
      <w:r>
        <w:rPr>
          <w:lang w:val="en-GB"/>
        </w:rPr>
        <w:t xml:space="preserve"> :</w:t>
      </w:r>
      <w:r>
        <w:rPr>
          <w:b/>
          <w:lang w:val="en-GB"/>
        </w:rPr>
        <w:t xml:space="preserve"> </w:t>
      </w:r>
      <w:r>
        <w:rPr>
          <w:bCs/>
          <w:i/>
          <w:iCs/>
          <w:lang w:val="en-GB"/>
        </w:rPr>
        <w:t>a market model residuals approach”,</w:t>
      </w:r>
      <w:r>
        <w:rPr>
          <w:bCs/>
          <w:lang w:val="en-GB"/>
        </w:rPr>
        <w:t xml:space="preserve"> with C. Bautista and Ph. Rous, </w:t>
      </w:r>
      <w:r>
        <w:rPr>
          <w:lang w:val="en-GB"/>
        </w:rPr>
        <w:t>Workshop « Safety and Efficiency of the Financial System », Limoges, 19-20 September 2006.</w:t>
      </w:r>
    </w:p>
    <w:p w:rsidR="000C4B81" w:rsidRDefault="000C4B81">
      <w:pPr>
        <w:spacing w:line="360" w:lineRule="atLeast"/>
        <w:ind w:left="851" w:hanging="142"/>
        <w:rPr>
          <w:lang w:val="en-GB"/>
        </w:rPr>
      </w:pPr>
      <w:r>
        <w:rPr>
          <w:lang w:val="en-GB"/>
        </w:rPr>
        <w:t>•  "</w:t>
      </w:r>
      <w:r>
        <w:rPr>
          <w:i/>
          <w:lang w:val="en-GB"/>
        </w:rPr>
        <w:t xml:space="preserve">Predicting  Bank failures: the case of South East Asia </w:t>
      </w:r>
      <w:r>
        <w:rPr>
          <w:lang w:val="en-GB"/>
        </w:rPr>
        <w:t>", with I. Distinguin, J. Trinidad, Workshop « Safety and Efficiency of the Financial System »,  Limoges, 19-20 September 2006.</w:t>
      </w:r>
    </w:p>
    <w:p w:rsidR="000C4B81" w:rsidRDefault="000C4B81">
      <w:pPr>
        <w:spacing w:line="360" w:lineRule="atLeast"/>
        <w:ind w:left="851" w:hanging="142"/>
        <w:rPr>
          <w:lang w:val="en-GB"/>
        </w:rPr>
      </w:pPr>
      <w:r>
        <w:rPr>
          <w:lang w:val="en-GB"/>
        </w:rPr>
        <w:t>• "</w:t>
      </w:r>
      <w:r>
        <w:rPr>
          <w:i/>
          <w:lang w:val="en-GB"/>
        </w:rPr>
        <w:t>Bank Ownership, Risk and Efficiency in South East Asia</w:t>
      </w:r>
      <w:r>
        <w:rPr>
          <w:lang w:val="en-GB"/>
        </w:rPr>
        <w:t xml:space="preserve">”, with T. Barry, D. Third and L. Lepetit, </w:t>
      </w:r>
    </w:p>
    <w:p w:rsidR="000C4B81" w:rsidRDefault="000C4B81" w:rsidP="000C1581">
      <w:pPr>
        <w:numPr>
          <w:ilvl w:val="0"/>
          <w:numId w:val="3"/>
        </w:numPr>
        <w:rPr>
          <w:lang w:val="en-GB"/>
        </w:rPr>
      </w:pPr>
      <w:r>
        <w:rPr>
          <w:lang w:val="en-GB"/>
        </w:rPr>
        <w:t>Workshop « Safety and Efficiency of the Financial System », Limoges, 19-20 September 2006.</w:t>
      </w:r>
    </w:p>
    <w:p w:rsidR="000C4B81" w:rsidRDefault="000C4B81" w:rsidP="000C1581">
      <w:pPr>
        <w:numPr>
          <w:ilvl w:val="0"/>
          <w:numId w:val="3"/>
        </w:numPr>
        <w:rPr>
          <w:lang w:val="en-GB"/>
        </w:rPr>
      </w:pPr>
      <w:r>
        <w:rPr>
          <w:lang w:val="en-GB"/>
        </w:rPr>
        <w:t>Conference on Safety and Efficiency of the Financial System, Manila, 27 August 2007.</w:t>
      </w:r>
    </w:p>
    <w:p w:rsidR="000C4B81" w:rsidRDefault="000C4B81">
      <w:pPr>
        <w:pStyle w:val="Retraitcorpsdetexte"/>
        <w:rPr>
          <w:rFonts w:cs="Arial"/>
          <w:lang w:val="en-GB"/>
        </w:rPr>
      </w:pPr>
      <w:r>
        <w:rPr>
          <w:sz w:val="22"/>
          <w:lang w:val="en-GB"/>
        </w:rPr>
        <w:t>• “</w:t>
      </w:r>
      <w:r>
        <w:rPr>
          <w:rFonts w:cs="Arial"/>
          <w:i/>
          <w:iCs/>
          <w:lang w:val="en-GB"/>
        </w:rPr>
        <w:t xml:space="preserve">The Provision  of Services, Interest Margins and Loan Pricing in European Banking, </w:t>
      </w:r>
      <w:r>
        <w:rPr>
          <w:rFonts w:cs="Arial"/>
          <w:lang w:val="en-GB"/>
        </w:rPr>
        <w:t xml:space="preserve">with L. Lepetit, E. Nys and Ph. Rous, </w:t>
      </w:r>
    </w:p>
    <w:p w:rsidR="000C4B81" w:rsidRDefault="000C4B81">
      <w:pPr>
        <w:pStyle w:val="Retraitcorpsdetexte"/>
        <w:numPr>
          <w:ilvl w:val="0"/>
          <w:numId w:val="3"/>
        </w:numPr>
        <w:rPr>
          <w:lang w:val="en-GB"/>
        </w:rPr>
      </w:pPr>
      <w:r>
        <w:rPr>
          <w:lang w:val="en-GB"/>
        </w:rPr>
        <w:t>19th Australasian Finance &amp; Banking Conference, Sydney,  13-15 December 2006.</w:t>
      </w:r>
    </w:p>
    <w:p w:rsidR="000C4B81" w:rsidRDefault="000C4B81" w:rsidP="008E172D">
      <w:pPr>
        <w:pStyle w:val="Retraitcorpsdetexte"/>
        <w:numPr>
          <w:ilvl w:val="0"/>
          <w:numId w:val="3"/>
        </w:numPr>
        <w:rPr>
          <w:lang w:val="en-GB"/>
        </w:rPr>
      </w:pPr>
      <w:r>
        <w:rPr>
          <w:lang w:val="en-GB"/>
        </w:rPr>
        <w:t>2007 FMA European Conference, Barcelona, 30 May-1 June 2007.</w:t>
      </w:r>
    </w:p>
    <w:p w:rsidR="000C4B81" w:rsidRDefault="000C4B81">
      <w:pPr>
        <w:spacing w:line="360" w:lineRule="atLeast"/>
        <w:ind w:left="851" w:hanging="142"/>
        <w:rPr>
          <w:lang w:val="en-GB"/>
        </w:rPr>
      </w:pPr>
      <w:r>
        <w:rPr>
          <w:lang w:val="en-GB"/>
        </w:rPr>
        <w:t>• “</w:t>
      </w:r>
      <w:r>
        <w:rPr>
          <w:i/>
          <w:iCs/>
          <w:lang w:val="en-GB"/>
        </w:rPr>
        <w:t>The determinants of Domestic and  cross border bank contagion risk in South East Asia</w:t>
      </w:r>
      <w:r>
        <w:rPr>
          <w:bCs/>
          <w:i/>
          <w:iCs/>
          <w:lang w:val="en-GB"/>
        </w:rPr>
        <w:t>”,</w:t>
      </w:r>
      <w:r>
        <w:rPr>
          <w:bCs/>
          <w:lang w:val="en-GB"/>
        </w:rPr>
        <w:t xml:space="preserve"> with C. Bautista and Ph. Rous, </w:t>
      </w:r>
    </w:p>
    <w:p w:rsidR="000C4B81" w:rsidRDefault="000C4B81" w:rsidP="000C1581">
      <w:pPr>
        <w:numPr>
          <w:ilvl w:val="0"/>
          <w:numId w:val="3"/>
        </w:numPr>
        <w:rPr>
          <w:lang w:val="en-GB"/>
        </w:rPr>
      </w:pPr>
      <w:r>
        <w:rPr>
          <w:lang w:val="en-GB"/>
        </w:rPr>
        <w:t xml:space="preserve">Conference on Opening and Innovation on Financial Emerging Markets, Beijing, 27-28 March 2007. </w:t>
      </w:r>
    </w:p>
    <w:p w:rsidR="00FB42B1" w:rsidRDefault="00FB42B1" w:rsidP="000C1581">
      <w:pPr>
        <w:numPr>
          <w:ilvl w:val="0"/>
          <w:numId w:val="3"/>
        </w:numPr>
        <w:rPr>
          <w:lang w:val="en-GB"/>
        </w:rPr>
      </w:pPr>
      <w:r>
        <w:rPr>
          <w:lang w:val="en-GB"/>
        </w:rPr>
        <w:t>Accepted for the 20th Australasian Finance &amp; Banking Conference, Sydney,  12-14 December.</w:t>
      </w:r>
    </w:p>
    <w:p w:rsidR="000C4B81" w:rsidRDefault="000C4B81" w:rsidP="000C1581">
      <w:pPr>
        <w:numPr>
          <w:ilvl w:val="0"/>
          <w:numId w:val="3"/>
        </w:numPr>
        <w:rPr>
          <w:lang w:val="en-GB"/>
        </w:rPr>
      </w:pPr>
      <w:r>
        <w:rPr>
          <w:lang w:val="en-GB"/>
        </w:rPr>
        <w:t>Conference on Safety and Efficiency of the Financial System, Manila, 27 August 2007.</w:t>
      </w:r>
    </w:p>
    <w:p w:rsidR="005E6CE5" w:rsidRDefault="005E6CE5" w:rsidP="000C1581">
      <w:pPr>
        <w:numPr>
          <w:ilvl w:val="0"/>
          <w:numId w:val="3"/>
        </w:numPr>
        <w:rPr>
          <w:lang w:val="en-GB"/>
        </w:rPr>
      </w:pPr>
      <w:r>
        <w:rPr>
          <w:lang w:val="en-GB"/>
        </w:rPr>
        <w:t>15</w:t>
      </w:r>
      <w:r>
        <w:rPr>
          <w:vertAlign w:val="superscript"/>
          <w:lang w:val="en-GB"/>
        </w:rPr>
        <w:t>th</w:t>
      </w:r>
      <w:r>
        <w:rPr>
          <w:lang w:val="en-GB"/>
        </w:rPr>
        <w:t xml:space="preserve"> Global Finance Conference (GFC), plenary session, Hangzhou, 18-20 May 2008. </w:t>
      </w:r>
    </w:p>
    <w:p w:rsidR="005E6CE5" w:rsidRDefault="005E6CE5" w:rsidP="000C1581">
      <w:pPr>
        <w:numPr>
          <w:ilvl w:val="0"/>
          <w:numId w:val="3"/>
        </w:numPr>
        <w:rPr>
          <w:lang w:val="en-GB"/>
        </w:rPr>
      </w:pPr>
      <w:r>
        <w:rPr>
          <w:lang w:val="en-GB"/>
        </w:rPr>
        <w:t>2008 6</w:t>
      </w:r>
      <w:r>
        <w:rPr>
          <w:vertAlign w:val="superscript"/>
          <w:lang w:val="en-GB"/>
        </w:rPr>
        <w:t>th</w:t>
      </w:r>
      <w:r>
        <w:rPr>
          <w:lang w:val="en-GB"/>
        </w:rPr>
        <w:t xml:space="preserve"> NTU IEFA Financial Engineering and Financial Intermediation Conference, Taipei, 21-22 May 2008. </w:t>
      </w:r>
    </w:p>
    <w:p w:rsidR="00CA62EC" w:rsidRDefault="000C4B81">
      <w:pPr>
        <w:spacing w:line="360" w:lineRule="atLeast"/>
        <w:ind w:left="560"/>
        <w:rPr>
          <w:lang w:val="en-GB"/>
        </w:rPr>
      </w:pPr>
      <w:r>
        <w:rPr>
          <w:sz w:val="22"/>
          <w:lang w:val="en-GB"/>
        </w:rPr>
        <w:t>• “</w:t>
      </w:r>
      <w:r>
        <w:rPr>
          <w:rFonts w:cs="Arial"/>
          <w:i/>
          <w:iCs/>
          <w:lang w:val="en-GB"/>
        </w:rPr>
        <w:t xml:space="preserve">The use of accounting and stock market data to predict bank rating changes : the case of South East Asia”, </w:t>
      </w:r>
      <w:r>
        <w:rPr>
          <w:lang w:val="en-GB"/>
        </w:rPr>
        <w:t xml:space="preserve">with I. Distinguin, </w:t>
      </w:r>
    </w:p>
    <w:p w:rsidR="000C4B81" w:rsidRDefault="000C4B81" w:rsidP="000C1581">
      <w:pPr>
        <w:numPr>
          <w:ilvl w:val="0"/>
          <w:numId w:val="3"/>
        </w:numPr>
        <w:rPr>
          <w:lang w:val="en-GB"/>
        </w:rPr>
      </w:pPr>
      <w:r>
        <w:rPr>
          <w:lang w:val="en-GB"/>
        </w:rPr>
        <w:lastRenderedPageBreak/>
        <w:t>Conference on Safety and Efficiency of the Financial System, Manila, 27 August 2007.</w:t>
      </w:r>
    </w:p>
    <w:p w:rsidR="00774A06" w:rsidRDefault="00774A06" w:rsidP="000C1581">
      <w:pPr>
        <w:numPr>
          <w:ilvl w:val="0"/>
          <w:numId w:val="3"/>
        </w:numPr>
        <w:rPr>
          <w:lang w:val="en-GB"/>
        </w:rPr>
      </w:pPr>
      <w:r>
        <w:rPr>
          <w:lang w:val="en-GB"/>
        </w:rPr>
        <w:t>Accepted for the 20th Australasian Finance &amp; Banking Conference, Sydney,  12-14 December 2007.</w:t>
      </w:r>
    </w:p>
    <w:p w:rsidR="008F126D" w:rsidRDefault="008F126D" w:rsidP="000C1581">
      <w:pPr>
        <w:numPr>
          <w:ilvl w:val="0"/>
          <w:numId w:val="3"/>
        </w:numPr>
        <w:rPr>
          <w:lang w:val="en-GB"/>
        </w:rPr>
      </w:pPr>
      <w:r>
        <w:rPr>
          <w:lang w:val="en-GB"/>
        </w:rPr>
        <w:t>15</w:t>
      </w:r>
      <w:r>
        <w:rPr>
          <w:vertAlign w:val="superscript"/>
          <w:lang w:val="en-GB"/>
        </w:rPr>
        <w:t>th</w:t>
      </w:r>
      <w:r>
        <w:rPr>
          <w:lang w:val="en-GB"/>
        </w:rPr>
        <w:t xml:space="preserve"> Global Finance Conference (GFC), plenary session, Hangzhou, 18-20 May 2008. </w:t>
      </w:r>
    </w:p>
    <w:p w:rsidR="00CA62EC" w:rsidRDefault="00774A06" w:rsidP="000C1581">
      <w:pPr>
        <w:numPr>
          <w:ilvl w:val="0"/>
          <w:numId w:val="3"/>
        </w:numPr>
        <w:rPr>
          <w:lang w:val="en-GB"/>
        </w:rPr>
      </w:pPr>
      <w:r>
        <w:rPr>
          <w:lang w:val="en-GB"/>
        </w:rPr>
        <w:t>2008 6</w:t>
      </w:r>
      <w:r>
        <w:rPr>
          <w:vertAlign w:val="superscript"/>
          <w:lang w:val="en-GB"/>
        </w:rPr>
        <w:t>th</w:t>
      </w:r>
      <w:r>
        <w:rPr>
          <w:lang w:val="en-GB"/>
        </w:rPr>
        <w:t xml:space="preserve"> NTU IEFA Financial Engineering and Financial Intermediation Conference, Taipei, 21-22 May 2008. </w:t>
      </w:r>
    </w:p>
    <w:p w:rsidR="00774A06" w:rsidRDefault="00774A06" w:rsidP="000C1581">
      <w:pPr>
        <w:numPr>
          <w:ilvl w:val="0"/>
          <w:numId w:val="3"/>
        </w:numPr>
        <w:rPr>
          <w:lang w:val="en-GB"/>
        </w:rPr>
      </w:pPr>
      <w:r>
        <w:rPr>
          <w:lang w:val="en-GB"/>
        </w:rPr>
        <w:t>2008 FMA European Conference, Prague, 4-5 June 2008.</w:t>
      </w:r>
    </w:p>
    <w:p w:rsidR="00900687" w:rsidRDefault="00900687" w:rsidP="000C1581">
      <w:pPr>
        <w:numPr>
          <w:ilvl w:val="0"/>
          <w:numId w:val="3"/>
        </w:numPr>
        <w:rPr>
          <w:lang w:val="en-GB"/>
        </w:rPr>
      </w:pPr>
      <w:r>
        <w:rPr>
          <w:lang w:val="en-GB"/>
        </w:rPr>
        <w:t>25</w:t>
      </w:r>
      <w:r>
        <w:rPr>
          <w:vertAlign w:val="superscript"/>
          <w:lang w:val="en-GB"/>
        </w:rPr>
        <w:t>th</w:t>
      </w:r>
      <w:r>
        <w:rPr>
          <w:lang w:val="en-GB"/>
        </w:rPr>
        <w:t xml:space="preserve"> Symposium in money, banking and finance, GDRE, Luxembourg, 18-20 June 2008.  </w:t>
      </w:r>
    </w:p>
    <w:p w:rsidR="000C4B81" w:rsidRDefault="000C4B81">
      <w:pPr>
        <w:spacing w:line="360" w:lineRule="atLeast"/>
        <w:ind w:left="560"/>
        <w:rPr>
          <w:lang w:val="en-GB"/>
        </w:rPr>
      </w:pPr>
      <w:r>
        <w:rPr>
          <w:sz w:val="22"/>
          <w:lang w:val="en-GB"/>
        </w:rPr>
        <w:t>• “</w:t>
      </w:r>
      <w:r>
        <w:rPr>
          <w:rFonts w:cs="Arial"/>
          <w:i/>
          <w:iCs/>
          <w:lang w:val="en-GB"/>
        </w:rPr>
        <w:t xml:space="preserve">The expansion  </w:t>
      </w:r>
      <w:r>
        <w:rPr>
          <w:rFonts w:eastAsia="SimSun"/>
          <w:i/>
          <w:iCs/>
          <w:szCs w:val="32"/>
          <w:lang w:val="en-GB" w:eastAsia="zh-CN"/>
        </w:rPr>
        <w:t xml:space="preserve">of services in European banking: implications for loan pricing and interest margins”, </w:t>
      </w:r>
      <w:r>
        <w:rPr>
          <w:rFonts w:cs="Arial"/>
          <w:i/>
          <w:iCs/>
          <w:lang w:val="en-GB"/>
        </w:rPr>
        <w:t xml:space="preserve"> </w:t>
      </w:r>
      <w:r>
        <w:rPr>
          <w:rFonts w:cs="Arial"/>
          <w:lang w:val="en-GB"/>
        </w:rPr>
        <w:t xml:space="preserve">with L. Lepetit, E. Nys and Ph. Rous, </w:t>
      </w:r>
      <w:r>
        <w:rPr>
          <w:lang w:val="en-GB"/>
        </w:rPr>
        <w:t>2007 FMA Annual Meeting, Orlando,17-20 October 2007.</w:t>
      </w:r>
    </w:p>
    <w:p w:rsidR="00FD6151" w:rsidRDefault="00FD6151" w:rsidP="00FD6151">
      <w:pPr>
        <w:spacing w:line="360" w:lineRule="atLeast"/>
        <w:ind w:left="560"/>
        <w:rPr>
          <w:lang w:val="en-GB"/>
        </w:rPr>
      </w:pPr>
      <w:r>
        <w:rPr>
          <w:sz w:val="22"/>
          <w:lang w:val="en-GB"/>
        </w:rPr>
        <w:t>• “</w:t>
      </w:r>
      <w:r>
        <w:rPr>
          <w:rFonts w:cs="Arial"/>
          <w:i/>
          <w:iCs/>
          <w:lang w:val="en-GB"/>
        </w:rPr>
        <w:t xml:space="preserve">Predicting bank rating changes in the Asia Pacific region : the accuracy of accounting and stock market indicators”, </w:t>
      </w:r>
      <w:r>
        <w:rPr>
          <w:lang w:val="en-GB"/>
        </w:rPr>
        <w:t xml:space="preserve">with I. Distinguin, </w:t>
      </w:r>
    </w:p>
    <w:p w:rsidR="00FD6151" w:rsidRDefault="00FD6151" w:rsidP="000C1581">
      <w:pPr>
        <w:numPr>
          <w:ilvl w:val="0"/>
          <w:numId w:val="3"/>
        </w:numPr>
        <w:rPr>
          <w:lang w:val="en-GB"/>
        </w:rPr>
      </w:pPr>
      <w:r>
        <w:rPr>
          <w:lang w:val="en-GB"/>
        </w:rPr>
        <w:t xml:space="preserve">Accepted for the EFMA 2008 Annual Conference, Athens, 25-28 June 2008. </w:t>
      </w:r>
    </w:p>
    <w:p w:rsidR="00FD6151" w:rsidRDefault="00FD6151" w:rsidP="000C1581">
      <w:pPr>
        <w:numPr>
          <w:ilvl w:val="0"/>
          <w:numId w:val="3"/>
        </w:numPr>
        <w:rPr>
          <w:lang w:val="en-GB"/>
        </w:rPr>
      </w:pPr>
      <w:r>
        <w:rPr>
          <w:lang w:val="en-GB"/>
        </w:rPr>
        <w:t xml:space="preserve">Northern Finance Association 2008 Conference, Calgary, 5-7 September, 2008. </w:t>
      </w:r>
    </w:p>
    <w:p w:rsidR="00FD6151" w:rsidRDefault="00FD6151" w:rsidP="000C1581">
      <w:pPr>
        <w:numPr>
          <w:ilvl w:val="0"/>
          <w:numId w:val="3"/>
        </w:numPr>
        <w:rPr>
          <w:lang w:val="en-GB"/>
        </w:rPr>
      </w:pPr>
      <w:r>
        <w:rPr>
          <w:lang w:val="en-GB"/>
        </w:rPr>
        <w:t xml:space="preserve">2008 FMA Annual Meeting, Dallas,  8-11 October 2008. </w:t>
      </w:r>
    </w:p>
    <w:p w:rsidR="00DA199A" w:rsidRDefault="00414E45" w:rsidP="000C1581">
      <w:pPr>
        <w:numPr>
          <w:ilvl w:val="0"/>
          <w:numId w:val="3"/>
        </w:numPr>
        <w:rPr>
          <w:lang w:val="en-GB"/>
        </w:rPr>
      </w:pPr>
      <w:r>
        <w:rPr>
          <w:lang w:val="en-GB"/>
        </w:rPr>
        <w:t>21</w:t>
      </w:r>
      <w:r>
        <w:rPr>
          <w:vertAlign w:val="superscript"/>
          <w:lang w:val="en-GB"/>
        </w:rPr>
        <w:t>st</w:t>
      </w:r>
      <w:r>
        <w:rPr>
          <w:lang w:val="en-GB"/>
        </w:rPr>
        <w:t xml:space="preserve"> Australasian Finance &amp; Banking Conference, Sydney,  16-18 December 2008.</w:t>
      </w:r>
    </w:p>
    <w:p w:rsidR="00992C44" w:rsidRDefault="00992C44" w:rsidP="00992C44">
      <w:pPr>
        <w:spacing w:line="360" w:lineRule="atLeast"/>
        <w:ind w:left="560"/>
        <w:rPr>
          <w:lang w:val="en-GB"/>
        </w:rPr>
      </w:pPr>
      <w:r>
        <w:rPr>
          <w:sz w:val="22"/>
          <w:lang w:val="en-GB"/>
        </w:rPr>
        <w:t xml:space="preserve">• </w:t>
      </w:r>
      <w:r>
        <w:rPr>
          <w:i/>
          <w:lang w:val="en-GB"/>
        </w:rPr>
        <w:t xml:space="preserve">"Bank </w:t>
      </w:r>
      <w:r>
        <w:rPr>
          <w:bCs/>
          <w:i/>
          <w:iCs/>
          <w:lang w:val="en-GB"/>
        </w:rPr>
        <w:t>ownership structure, market Discipline and risk : evidence from a sample of privately owned and publicly held European banks »</w:t>
      </w:r>
      <w:r>
        <w:rPr>
          <w:lang w:val="en-GB"/>
        </w:rPr>
        <w:t xml:space="preserve"> with T. Barry and L. Lepetit, </w:t>
      </w:r>
    </w:p>
    <w:p w:rsidR="00992C44" w:rsidRDefault="00992C44" w:rsidP="000C1581">
      <w:pPr>
        <w:numPr>
          <w:ilvl w:val="0"/>
          <w:numId w:val="3"/>
        </w:numPr>
        <w:rPr>
          <w:lang w:val="en-GB"/>
        </w:rPr>
      </w:pPr>
      <w:r>
        <w:rPr>
          <w:lang w:val="en-GB"/>
        </w:rPr>
        <w:t>Workshop “Bank Structure, Competition, and Risk”, Université de Limoges, 27 November 2008.</w:t>
      </w:r>
    </w:p>
    <w:p w:rsidR="00992C44" w:rsidRPr="00717B20" w:rsidRDefault="00992C44" w:rsidP="000C1581">
      <w:pPr>
        <w:numPr>
          <w:ilvl w:val="0"/>
          <w:numId w:val="3"/>
        </w:numPr>
        <w:rPr>
          <w:lang w:val="en-GB"/>
        </w:rPr>
      </w:pPr>
      <w:r>
        <w:rPr>
          <w:lang w:val="en-US"/>
        </w:rPr>
        <w:t>7</w:t>
      </w:r>
      <w:r>
        <w:rPr>
          <w:vertAlign w:val="superscript"/>
          <w:lang w:val="en-US"/>
        </w:rPr>
        <w:t>th</w:t>
      </w:r>
      <w:r>
        <w:rPr>
          <w:lang w:val="en-US"/>
        </w:rPr>
        <w:t xml:space="preserve"> NTU International Conference on Economics, Finance and Accounting, Taipei, 25-27 May, 2009.</w:t>
      </w:r>
    </w:p>
    <w:p w:rsidR="00992C44" w:rsidRPr="00717B20" w:rsidRDefault="00992C44" w:rsidP="000C1581">
      <w:pPr>
        <w:numPr>
          <w:ilvl w:val="0"/>
          <w:numId w:val="3"/>
        </w:numPr>
        <w:rPr>
          <w:lang w:val="en-GB"/>
        </w:rPr>
      </w:pPr>
      <w:r>
        <w:t>AFFI 2009 International Conference, Brest, 13-15 May 2009</w:t>
      </w:r>
    </w:p>
    <w:p w:rsidR="00992C44" w:rsidRPr="00AD4AD4" w:rsidRDefault="00992C44" w:rsidP="000C1581">
      <w:pPr>
        <w:numPr>
          <w:ilvl w:val="0"/>
          <w:numId w:val="3"/>
        </w:numPr>
        <w:rPr>
          <w:rFonts w:cs="Arial"/>
          <w:iCs/>
          <w:lang w:val="en-GB"/>
        </w:rPr>
      </w:pPr>
      <w:r>
        <w:rPr>
          <w:noProof/>
        </w:rPr>
        <w:t>7</w:t>
      </w:r>
      <w:r>
        <w:rPr>
          <w:noProof/>
          <w:vertAlign w:val="superscript"/>
        </w:rPr>
        <w:t>th</w:t>
      </w:r>
      <w:r>
        <w:rPr>
          <w:noProof/>
        </w:rPr>
        <w:t xml:space="preserve"> INFINITI Conference on International Finance, Dublin, 8-9 June, 2009.</w:t>
      </w:r>
    </w:p>
    <w:p w:rsidR="00992C44" w:rsidRPr="00EA5C49" w:rsidRDefault="00992C44" w:rsidP="000C1581">
      <w:pPr>
        <w:numPr>
          <w:ilvl w:val="0"/>
          <w:numId w:val="3"/>
        </w:numPr>
        <w:rPr>
          <w:lang w:val="en-US"/>
        </w:rPr>
      </w:pPr>
      <w:r>
        <w:rPr>
          <w:lang w:val="en-US"/>
        </w:rPr>
        <w:t>26</w:t>
      </w:r>
      <w:r>
        <w:rPr>
          <w:vertAlign w:val="superscript"/>
          <w:lang w:val="en-US"/>
        </w:rPr>
        <w:t>th</w:t>
      </w:r>
      <w:r>
        <w:rPr>
          <w:lang w:val="en-US"/>
        </w:rPr>
        <w:t xml:space="preserve"> International Symposium on Money, Banking and Finance, GDRE, Orléans,</w:t>
      </w:r>
    </w:p>
    <w:p w:rsidR="00992C44" w:rsidRPr="00AD4AD4" w:rsidRDefault="00992C44" w:rsidP="000C1581">
      <w:pPr>
        <w:ind w:left="1065"/>
      </w:pPr>
      <w:r>
        <w:rPr>
          <w:lang w:val="en-US"/>
        </w:rPr>
        <w:t xml:space="preserve"> </w:t>
      </w:r>
      <w:r>
        <w:t>25-26 June 2009.</w:t>
      </w:r>
    </w:p>
    <w:p w:rsidR="00992C44" w:rsidRDefault="00992C44" w:rsidP="000C1581">
      <w:pPr>
        <w:numPr>
          <w:ilvl w:val="0"/>
          <w:numId w:val="3"/>
        </w:numPr>
        <w:rPr>
          <w:lang w:val="en-GB"/>
        </w:rPr>
      </w:pPr>
      <w:r>
        <w:rPr>
          <w:lang w:val="en-GB"/>
        </w:rPr>
        <w:t>Western Economic Association International 24</w:t>
      </w:r>
      <w:r>
        <w:rPr>
          <w:vertAlign w:val="superscript"/>
          <w:lang w:val="en-GB"/>
        </w:rPr>
        <w:t>th</w:t>
      </w:r>
      <w:r>
        <w:rPr>
          <w:lang w:val="en-GB"/>
        </w:rPr>
        <w:t xml:space="preserve"> Meeting and IBEFA, Vancouver, 29 June-3 July 2009.</w:t>
      </w:r>
    </w:p>
    <w:p w:rsidR="00992C44" w:rsidRPr="00AD4AD4" w:rsidRDefault="00992C44" w:rsidP="000C1581">
      <w:pPr>
        <w:numPr>
          <w:ilvl w:val="0"/>
          <w:numId w:val="3"/>
        </w:numPr>
        <w:rPr>
          <w:lang w:val="en-GB"/>
        </w:rPr>
      </w:pPr>
      <w:r>
        <w:rPr>
          <w:bCs/>
          <w:lang w:val="en-GB"/>
        </w:rPr>
        <w:t>Econometric Society European Meeting, ESEM, Barcelona, 23-27 August 2009.</w:t>
      </w:r>
    </w:p>
    <w:p w:rsidR="00992C44" w:rsidRPr="00EA5C49" w:rsidRDefault="00992C44" w:rsidP="000C1581">
      <w:pPr>
        <w:numPr>
          <w:ilvl w:val="0"/>
          <w:numId w:val="3"/>
        </w:numPr>
        <w:rPr>
          <w:lang w:val="en-US"/>
        </w:rPr>
      </w:pPr>
      <w:r>
        <w:rPr>
          <w:lang w:val="en-US"/>
        </w:rPr>
        <w:t>58</w:t>
      </w:r>
      <w:r>
        <w:rPr>
          <w:vertAlign w:val="superscript"/>
          <w:lang w:val="en-US"/>
        </w:rPr>
        <w:t>th</w:t>
      </w:r>
      <w:r>
        <w:rPr>
          <w:lang w:val="en-US"/>
        </w:rPr>
        <w:t xml:space="preserve"> AFSE Annual Meeting, Paris, 10-11 September 2009.</w:t>
      </w:r>
    </w:p>
    <w:p w:rsidR="00992C44" w:rsidRDefault="00992C44" w:rsidP="000C1581">
      <w:pPr>
        <w:numPr>
          <w:ilvl w:val="0"/>
          <w:numId w:val="3"/>
        </w:numPr>
        <w:rPr>
          <w:lang w:val="en-GB"/>
        </w:rPr>
      </w:pPr>
      <w:r>
        <w:rPr>
          <w:lang w:val="en-GB"/>
        </w:rPr>
        <w:t>2009 FMA Annual Meeting, Reno, 21-24 October 2009.</w:t>
      </w:r>
    </w:p>
    <w:p w:rsidR="00992C44" w:rsidRDefault="00992C44" w:rsidP="00992C44">
      <w:pPr>
        <w:spacing w:line="360" w:lineRule="atLeast"/>
        <w:ind w:left="560"/>
        <w:rPr>
          <w:rFonts w:cs="Arial"/>
          <w:iCs/>
          <w:lang w:val="en-GB"/>
        </w:rPr>
      </w:pPr>
      <w:r>
        <w:rPr>
          <w:sz w:val="22"/>
          <w:lang w:val="en-GB"/>
        </w:rPr>
        <w:t>• “</w:t>
      </w:r>
      <w:r>
        <w:rPr>
          <w:rFonts w:cs="Arial"/>
          <w:i/>
          <w:iCs/>
          <w:lang w:val="en-GB"/>
        </w:rPr>
        <w:t>Ownership structure and bank efficiency in the Asia Pacific Region”,</w:t>
      </w:r>
      <w:r>
        <w:rPr>
          <w:rFonts w:cs="Arial"/>
          <w:iCs/>
          <w:lang w:val="en-GB"/>
        </w:rPr>
        <w:t xml:space="preserve"> with T. Barry and L. Lepetit, </w:t>
      </w:r>
    </w:p>
    <w:p w:rsidR="00992C44" w:rsidRPr="00214CC6" w:rsidRDefault="00992C44" w:rsidP="000C1581">
      <w:pPr>
        <w:numPr>
          <w:ilvl w:val="0"/>
          <w:numId w:val="3"/>
        </w:numPr>
        <w:rPr>
          <w:rFonts w:cs="Arial"/>
          <w:iCs/>
          <w:lang w:val="en-GB"/>
        </w:rPr>
      </w:pPr>
      <w:r>
        <w:rPr>
          <w:lang w:val="en-GB"/>
        </w:rPr>
        <w:t xml:space="preserve">2008 NTU International Conference in Finance, Tapei, 11-12 December 2008.  </w:t>
      </w:r>
    </w:p>
    <w:p w:rsidR="00992C44" w:rsidRPr="00DD0B03" w:rsidRDefault="00992C44" w:rsidP="000C1581">
      <w:pPr>
        <w:numPr>
          <w:ilvl w:val="0"/>
          <w:numId w:val="3"/>
        </w:numPr>
        <w:rPr>
          <w:rFonts w:cs="Arial"/>
          <w:iCs/>
          <w:lang w:val="en-GB"/>
        </w:rPr>
      </w:pPr>
      <w:r>
        <w:rPr>
          <w:lang w:val="en-GB"/>
        </w:rPr>
        <w:t>4</w:t>
      </w:r>
      <w:r>
        <w:rPr>
          <w:vertAlign w:val="superscript"/>
          <w:lang w:val="en-GB"/>
        </w:rPr>
        <w:t>th</w:t>
      </w:r>
      <w:r>
        <w:rPr>
          <w:lang w:val="en-GB"/>
        </w:rPr>
        <w:t xml:space="preserve"> East Asia Finance and Accounting Conference, Nagasaki, 12-13 December 2008.</w:t>
      </w:r>
    </w:p>
    <w:p w:rsidR="00992C44" w:rsidRPr="00DD0B03" w:rsidRDefault="00992C44" w:rsidP="000C1581">
      <w:pPr>
        <w:numPr>
          <w:ilvl w:val="0"/>
          <w:numId w:val="3"/>
        </w:numPr>
        <w:rPr>
          <w:rFonts w:cs="Arial"/>
          <w:iCs/>
          <w:lang w:val="en-GB"/>
        </w:rPr>
      </w:pPr>
      <w:r>
        <w:rPr>
          <w:bCs/>
          <w:lang w:val="en-GB"/>
        </w:rPr>
        <w:t>FMA Asian Conference, Xiamen, 6-8 May, 2009.</w:t>
      </w:r>
    </w:p>
    <w:p w:rsidR="00992C44" w:rsidRPr="00717B20" w:rsidRDefault="00992C44" w:rsidP="000C1581">
      <w:pPr>
        <w:numPr>
          <w:ilvl w:val="0"/>
          <w:numId w:val="3"/>
        </w:numPr>
        <w:rPr>
          <w:rFonts w:cs="Arial"/>
          <w:iCs/>
          <w:lang w:val="en-GB"/>
        </w:rPr>
      </w:pPr>
      <w:r>
        <w:rPr>
          <w:lang w:val="en-US"/>
        </w:rPr>
        <w:t>7</w:t>
      </w:r>
      <w:r>
        <w:rPr>
          <w:vertAlign w:val="superscript"/>
          <w:lang w:val="en-US"/>
        </w:rPr>
        <w:t>th</w:t>
      </w:r>
      <w:r>
        <w:rPr>
          <w:lang w:val="en-US"/>
        </w:rPr>
        <w:t xml:space="preserve"> NTU International Conference on Economics, Finance and Accounting, Taipei, 25-27 May, 2009.</w:t>
      </w:r>
    </w:p>
    <w:p w:rsidR="00992C44" w:rsidRPr="00992C44" w:rsidRDefault="00992C44" w:rsidP="000C1581">
      <w:pPr>
        <w:numPr>
          <w:ilvl w:val="0"/>
          <w:numId w:val="3"/>
        </w:numPr>
        <w:rPr>
          <w:rFonts w:cs="Arial"/>
          <w:iCs/>
          <w:lang w:val="en-GB"/>
        </w:rPr>
      </w:pPr>
      <w:r>
        <w:rPr>
          <w:noProof/>
        </w:rPr>
        <w:t>7</w:t>
      </w:r>
      <w:r>
        <w:rPr>
          <w:noProof/>
          <w:vertAlign w:val="superscript"/>
        </w:rPr>
        <w:t>th</w:t>
      </w:r>
      <w:r>
        <w:rPr>
          <w:noProof/>
        </w:rPr>
        <w:t xml:space="preserve"> INFINITI Conference on International Finance, Dublin, 8-9 June, 2009.</w:t>
      </w:r>
    </w:p>
    <w:p w:rsidR="00992C44" w:rsidRPr="00BA6605" w:rsidRDefault="00992C44" w:rsidP="00992C44">
      <w:pPr>
        <w:spacing w:line="360" w:lineRule="atLeast"/>
        <w:ind w:left="567"/>
      </w:pPr>
      <w:r>
        <w:rPr>
          <w:sz w:val="22"/>
        </w:rPr>
        <w:t>•</w:t>
      </w:r>
      <w:r>
        <w:rPr>
          <w:i/>
        </w:rPr>
        <w:t xml:space="preserve"> « Les déterminants des crises bancaires dans l’UEMOA : une approche logit multinomiale »  </w:t>
      </w:r>
      <w:r>
        <w:t>avec A. Angora,  26</w:t>
      </w:r>
      <w:r>
        <w:rPr>
          <w:vertAlign w:val="superscript"/>
        </w:rPr>
        <w:t>th</w:t>
      </w:r>
      <w:r>
        <w:t xml:space="preserve"> International Symposium on Money, Banking and Finance, GDRE, Orléans, 25-26 June 2009.</w:t>
      </w:r>
    </w:p>
    <w:p w:rsidR="00032301" w:rsidRPr="00EA5C49" w:rsidRDefault="00992C44" w:rsidP="00992C44">
      <w:pPr>
        <w:tabs>
          <w:tab w:val="left" w:pos="567"/>
        </w:tabs>
        <w:suppressAutoHyphens/>
        <w:ind w:left="567"/>
        <w:jc w:val="both"/>
        <w:rPr>
          <w:bCs/>
          <w:lang w:val="en-US"/>
        </w:rPr>
      </w:pPr>
      <w:r>
        <w:rPr>
          <w:lang w:val="en-GB"/>
        </w:rPr>
        <w:t xml:space="preserve">• </w:t>
      </w:r>
      <w:r>
        <w:rPr>
          <w:bCs/>
          <w:i/>
          <w:lang w:val="id-ID"/>
        </w:rPr>
        <w:t xml:space="preserve">“Capital Regulation, Governance and Risk in Indonesian Banking: Does Ownership Type Matter?” </w:t>
      </w:r>
      <w:r>
        <w:rPr>
          <w:bCs/>
          <w:lang w:val="id-ID"/>
        </w:rPr>
        <w:t xml:space="preserve">with Ph. Rous and W. Soedarmono, </w:t>
      </w:r>
    </w:p>
    <w:p w:rsidR="00032301" w:rsidRPr="00EA5C49" w:rsidRDefault="00032301" w:rsidP="00992C44">
      <w:pPr>
        <w:tabs>
          <w:tab w:val="left" w:pos="567"/>
        </w:tabs>
        <w:suppressAutoHyphens/>
        <w:ind w:left="567"/>
        <w:jc w:val="both"/>
        <w:rPr>
          <w:lang w:val="en-US"/>
        </w:rPr>
      </w:pPr>
      <w:r>
        <w:rPr>
          <w:bCs/>
          <w:lang w:val="en-US"/>
        </w:rPr>
        <w:tab/>
      </w:r>
      <w:r>
        <w:rPr>
          <w:bCs/>
          <w:lang w:val="en-US"/>
        </w:rPr>
        <w:tab/>
        <w:t xml:space="preserve">- </w:t>
      </w:r>
      <w:r>
        <w:rPr>
          <w:lang w:val="en-US"/>
        </w:rPr>
        <w:t>58</w:t>
      </w:r>
      <w:r>
        <w:rPr>
          <w:vertAlign w:val="superscript"/>
          <w:lang w:val="en-US"/>
        </w:rPr>
        <w:t>th</w:t>
      </w:r>
      <w:r>
        <w:rPr>
          <w:lang w:val="en-US"/>
        </w:rPr>
        <w:t xml:space="preserve"> AFSE Annual Meeting, Paris, 10-11 September 2009.</w:t>
      </w:r>
    </w:p>
    <w:p w:rsidR="00B70357" w:rsidRPr="00EA5C49" w:rsidRDefault="00032301" w:rsidP="00992C44">
      <w:pPr>
        <w:tabs>
          <w:tab w:val="left" w:pos="567"/>
        </w:tabs>
        <w:suppressAutoHyphens/>
        <w:ind w:left="567"/>
        <w:jc w:val="both"/>
        <w:rPr>
          <w:bCs/>
          <w:lang w:val="en-US"/>
        </w:rPr>
      </w:pPr>
      <w:r>
        <w:rPr>
          <w:lang w:val="en-US"/>
        </w:rPr>
        <w:tab/>
      </w:r>
      <w:r>
        <w:rPr>
          <w:lang w:val="en-US"/>
        </w:rPr>
        <w:tab/>
        <w:t xml:space="preserve">- </w:t>
      </w:r>
      <w:r>
        <w:rPr>
          <w:noProof/>
          <w:lang w:val="en-GB"/>
        </w:rPr>
        <w:t>Asian Finance Association Conference, 29 June-2 July 2010, Bangkok</w:t>
      </w:r>
      <w:r>
        <w:rPr>
          <w:noProof/>
          <w:sz w:val="22"/>
          <w:lang w:val="en-GB"/>
        </w:rPr>
        <w:t>,</w:t>
      </w:r>
      <w:r>
        <w:rPr>
          <w:lang w:val="en-US"/>
        </w:rPr>
        <w:tab/>
      </w:r>
    </w:p>
    <w:p w:rsidR="00992C44" w:rsidRPr="00EA5C49" w:rsidRDefault="00992C44" w:rsidP="00583F48">
      <w:pPr>
        <w:spacing w:line="360" w:lineRule="atLeast"/>
        <w:ind w:left="510"/>
        <w:rPr>
          <w:lang w:val="en-US"/>
        </w:rPr>
      </w:pPr>
      <w:r>
        <w:rPr>
          <w:sz w:val="22"/>
          <w:lang w:val="en-GB"/>
        </w:rPr>
        <w:lastRenderedPageBreak/>
        <w:t>• “</w:t>
      </w:r>
      <w:r>
        <w:rPr>
          <w:i/>
          <w:color w:val="141314"/>
          <w:lang w:val="en-US" w:eastAsia="zh-CN"/>
        </w:rPr>
        <w:t>The Use of Accounting Data</w:t>
      </w:r>
      <w:r>
        <w:rPr>
          <w:rFonts w:cs="Arial"/>
          <w:i/>
          <w:iCs/>
          <w:lang w:val="en-GB"/>
        </w:rPr>
        <w:t xml:space="preserve"> </w:t>
      </w:r>
      <w:r>
        <w:rPr>
          <w:i/>
          <w:color w:val="141314"/>
          <w:lang w:val="en-US" w:eastAsia="zh-CN"/>
        </w:rPr>
        <w:t>to Predict Bank Financial Distress in MENA Countries”,</w:t>
      </w:r>
      <w:r>
        <w:rPr>
          <w:rFonts w:cs="Arial"/>
          <w:iCs/>
          <w:lang w:val="en-GB"/>
        </w:rPr>
        <w:t xml:space="preserve">with I. Distinguin and I. Hasan, </w:t>
      </w:r>
      <w:r>
        <w:rPr>
          <w:lang w:val="en-US"/>
        </w:rPr>
        <w:t>ERF Annual Conference, Cairo,  November 7-9, 2009.</w:t>
      </w:r>
    </w:p>
    <w:p w:rsidR="00992C44" w:rsidRDefault="00992C44" w:rsidP="00992C44">
      <w:pPr>
        <w:spacing w:line="360" w:lineRule="atLeast"/>
        <w:ind w:left="560"/>
        <w:rPr>
          <w:rFonts w:cs="Arial"/>
          <w:iCs/>
          <w:lang w:val="en-GB"/>
        </w:rPr>
      </w:pPr>
      <w:r>
        <w:rPr>
          <w:sz w:val="22"/>
          <w:lang w:val="en-GB"/>
        </w:rPr>
        <w:t>• “</w:t>
      </w:r>
      <w:r>
        <w:rPr>
          <w:rFonts w:cs="Arial"/>
          <w:i/>
          <w:iCs/>
          <w:lang w:val="en-GB"/>
        </w:rPr>
        <w:t>Predicting rating changes for banks : how accurate are accounting and stock market indicators?,</w:t>
      </w:r>
      <w:r>
        <w:rPr>
          <w:rFonts w:cs="Arial"/>
          <w:iCs/>
          <w:lang w:val="en-GB"/>
        </w:rPr>
        <w:t xml:space="preserve"> with I. Distinguin and I. Hasan, </w:t>
      </w:r>
    </w:p>
    <w:p w:rsidR="00992C44" w:rsidRDefault="00992C44" w:rsidP="000C1581">
      <w:pPr>
        <w:numPr>
          <w:ilvl w:val="0"/>
          <w:numId w:val="3"/>
        </w:numPr>
        <w:rPr>
          <w:lang w:val="en-GB"/>
        </w:rPr>
      </w:pPr>
      <w:r>
        <w:rPr>
          <w:lang w:val="en-GB"/>
        </w:rPr>
        <w:t>5</w:t>
      </w:r>
      <w:r>
        <w:rPr>
          <w:vertAlign w:val="superscript"/>
          <w:lang w:val="en-GB"/>
        </w:rPr>
        <w:t>th</w:t>
      </w:r>
      <w:r>
        <w:rPr>
          <w:lang w:val="en-GB"/>
        </w:rPr>
        <w:t xml:space="preserve"> International conference on Asian financial markets, Nagasaki, 12-13 December 2009.</w:t>
      </w:r>
    </w:p>
    <w:p w:rsidR="00782E3C" w:rsidRDefault="00782E3C" w:rsidP="000C1581">
      <w:pPr>
        <w:numPr>
          <w:ilvl w:val="0"/>
          <w:numId w:val="3"/>
        </w:numPr>
        <w:rPr>
          <w:lang w:val="en-GB"/>
        </w:rPr>
      </w:pPr>
      <w:r>
        <w:rPr>
          <w:lang w:val="en-US"/>
        </w:rPr>
        <w:t>49</w:t>
      </w:r>
      <w:r>
        <w:rPr>
          <w:vertAlign w:val="superscript"/>
          <w:lang w:val="en-US"/>
        </w:rPr>
        <w:t>th</w:t>
      </w:r>
      <w:r>
        <w:rPr>
          <w:lang w:val="en-US"/>
        </w:rPr>
        <w:t xml:space="preserve"> Southwestern Finance Association Annual Meeting, 2-6 March 2010, Dallas.</w:t>
      </w:r>
    </w:p>
    <w:p w:rsidR="00935C2F" w:rsidRPr="00EA5C49" w:rsidRDefault="00CE0F91" w:rsidP="00583F48">
      <w:pPr>
        <w:spacing w:line="360" w:lineRule="atLeast"/>
        <w:ind w:left="510"/>
        <w:rPr>
          <w:lang w:val="en-US"/>
        </w:rPr>
      </w:pPr>
      <w:r>
        <w:rPr>
          <w:lang w:val="en-GB"/>
        </w:rPr>
        <w:t>•</w:t>
      </w:r>
      <w:r>
        <w:rPr>
          <w:lang w:val="en-US"/>
        </w:rPr>
        <w:t>"</w:t>
      </w:r>
      <w:r>
        <w:rPr>
          <w:i/>
          <w:lang w:val="en-US"/>
        </w:rPr>
        <w:t>Ownership structure and risk in publicly held and privately owned Banks</w:t>
      </w:r>
      <w:r>
        <w:rPr>
          <w:lang w:val="en-US"/>
        </w:rPr>
        <w:t xml:space="preserve">", with T. Barry and L. Lepetit, </w:t>
      </w:r>
    </w:p>
    <w:p w:rsidR="00935C2F" w:rsidRDefault="00935C2F" w:rsidP="001B40E6">
      <w:pPr>
        <w:numPr>
          <w:ilvl w:val="0"/>
          <w:numId w:val="3"/>
        </w:numPr>
        <w:rPr>
          <w:lang w:val="en-GB"/>
        </w:rPr>
      </w:pPr>
      <w:r>
        <w:rPr>
          <w:lang w:val="en-US"/>
        </w:rPr>
        <w:tab/>
      </w:r>
      <w:r>
        <w:rPr>
          <w:lang w:val="en-GB"/>
        </w:rPr>
        <w:t>22</w:t>
      </w:r>
      <w:r>
        <w:rPr>
          <w:vertAlign w:val="superscript"/>
          <w:lang w:val="en-GB"/>
        </w:rPr>
        <w:t>nd</w:t>
      </w:r>
      <w:r>
        <w:rPr>
          <w:lang w:val="en-GB"/>
        </w:rPr>
        <w:t xml:space="preserve"> Australasian Finance &amp; Banking Conference, Sydney,  16-18 December 2009.</w:t>
      </w:r>
    </w:p>
    <w:p w:rsidR="005E78BE" w:rsidRPr="006F6464" w:rsidRDefault="00CE0F91" w:rsidP="000C1581">
      <w:pPr>
        <w:numPr>
          <w:ilvl w:val="0"/>
          <w:numId w:val="3"/>
        </w:numPr>
        <w:rPr>
          <w:lang w:val="en-GB"/>
        </w:rPr>
      </w:pPr>
      <w:r>
        <w:rPr>
          <w:lang w:val="en-US"/>
        </w:rPr>
        <w:t>49</w:t>
      </w:r>
      <w:r>
        <w:rPr>
          <w:vertAlign w:val="superscript"/>
          <w:lang w:val="en-US"/>
        </w:rPr>
        <w:t>th</w:t>
      </w:r>
      <w:r>
        <w:rPr>
          <w:lang w:val="en-US"/>
        </w:rPr>
        <w:t xml:space="preserve"> Southwestern Finance Association Annual Meeting, 2-6 March 2010, Dallas.</w:t>
      </w:r>
    </w:p>
    <w:p w:rsidR="006F6464" w:rsidRPr="005E78BE" w:rsidRDefault="006F6464" w:rsidP="006F6464">
      <w:pPr>
        <w:ind w:left="426"/>
        <w:rPr>
          <w:lang w:val="en-GB"/>
        </w:rPr>
      </w:pPr>
      <w:r>
        <w:rPr>
          <w:lang w:val="en-GB"/>
        </w:rPr>
        <w:t>•</w:t>
      </w:r>
      <w:r>
        <w:rPr>
          <w:bCs/>
          <w:i/>
          <w:lang w:val="en-US"/>
        </w:rPr>
        <w:t xml:space="preserve">“Bank </w:t>
      </w:r>
      <w:r>
        <w:rPr>
          <w:i/>
          <w:lang w:val="en-US"/>
        </w:rPr>
        <w:t>market power, economic growth and financial stability : Evidence from Asian banks</w:t>
      </w:r>
      <w:r>
        <w:rPr>
          <w:lang w:val="en-US"/>
        </w:rPr>
        <w:t xml:space="preserve">", </w:t>
      </w:r>
      <w:r>
        <w:rPr>
          <w:bCs/>
          <w:lang w:val="id-ID"/>
        </w:rPr>
        <w:t>with F. Machrouh and W. Soedarmono</w:t>
      </w:r>
      <w:r>
        <w:rPr>
          <w:bCs/>
          <w:lang w:val="en-US"/>
        </w:rPr>
        <w:t xml:space="preserve">, </w:t>
      </w:r>
      <w:r>
        <w:rPr>
          <w:lang w:val="en-GB"/>
        </w:rPr>
        <w:t>The ACAES conference, special issue on the US Crisis and Its Impact on the Asian economy, March, 2010, Kyoto.</w:t>
      </w:r>
    </w:p>
    <w:p w:rsidR="005E78BE" w:rsidRPr="00EA5C49" w:rsidRDefault="005E78BE" w:rsidP="005E78BE">
      <w:pPr>
        <w:rPr>
          <w:lang w:val="en-US"/>
        </w:rPr>
      </w:pPr>
    </w:p>
    <w:p w:rsidR="005E78BE" w:rsidRPr="005E78BE" w:rsidRDefault="005E78BE" w:rsidP="006F6464">
      <w:pPr>
        <w:ind w:left="426"/>
      </w:pPr>
      <w:r>
        <w:rPr>
          <w:lang w:val="en-US"/>
        </w:rPr>
        <w:t xml:space="preserve">• </w:t>
      </w:r>
      <w:r>
        <w:rPr>
          <w:i/>
          <w:lang w:val="en-US"/>
        </w:rPr>
        <w:t>"</w:t>
      </w:r>
      <w:r>
        <w:rPr>
          <w:bCs/>
          <w:i/>
          <w:lang w:val="en-US"/>
        </w:rPr>
        <w:t xml:space="preserve"> Bank Capital Requirement, Managerial Self Interest and Risk Taking: Evidence from </w:t>
      </w:r>
      <w:r>
        <w:rPr>
          <w:bCs/>
          <w:i/>
          <w:lang w:val="en-US"/>
        </w:rPr>
        <w:tab/>
        <w:t>Indonesian Banks"</w:t>
      </w:r>
      <w:r>
        <w:rPr>
          <w:bCs/>
          <w:lang w:val="en-US"/>
        </w:rPr>
        <w:t xml:space="preserve">, with Ph. </w:t>
      </w:r>
      <w:r>
        <w:rPr>
          <w:bCs/>
        </w:rPr>
        <w:t xml:space="preserve">Rous and W. Soedarmono, </w:t>
      </w:r>
      <w:r>
        <w:tab/>
      </w:r>
      <w:r>
        <w:tab/>
      </w:r>
    </w:p>
    <w:p w:rsidR="005E78BE" w:rsidRPr="005E78BE" w:rsidRDefault="005E78BE" w:rsidP="005E78BE">
      <w:pPr>
        <w:rPr>
          <w:bCs/>
        </w:rPr>
      </w:pPr>
      <w:r>
        <w:rPr>
          <w:bCs/>
        </w:rPr>
        <w:tab/>
      </w:r>
      <w:r>
        <w:rPr>
          <w:bCs/>
        </w:rPr>
        <w:tab/>
        <w:t>- 27</w:t>
      </w:r>
      <w:r>
        <w:rPr>
          <w:bCs/>
          <w:vertAlign w:val="superscript"/>
        </w:rPr>
        <w:t>e</w:t>
      </w:r>
      <w:r>
        <w:rPr>
          <w:bCs/>
        </w:rPr>
        <w:t xml:space="preserve"> Journées d’Economie Monétaire et Bancaire – GdRE « Monnaie Banque </w:t>
      </w:r>
      <w:r>
        <w:rPr>
          <w:bCs/>
        </w:rPr>
        <w:tab/>
      </w:r>
      <w:r>
        <w:rPr>
          <w:bCs/>
        </w:rPr>
        <w:tab/>
      </w:r>
      <w:r>
        <w:rPr>
          <w:bCs/>
        </w:rPr>
        <w:tab/>
        <w:t>Finance »,17-18 Juin 2010, Bordeaux.</w:t>
      </w:r>
    </w:p>
    <w:p w:rsidR="005E78BE" w:rsidRDefault="005E78BE" w:rsidP="005E78BE">
      <w:pPr>
        <w:rPr>
          <w:bCs/>
        </w:rPr>
      </w:pPr>
      <w:r>
        <w:rPr>
          <w:bCs/>
        </w:rPr>
        <w:tab/>
      </w:r>
      <w:r>
        <w:rPr>
          <w:bCs/>
        </w:rPr>
        <w:tab/>
        <w:t>-  59</w:t>
      </w:r>
      <w:r>
        <w:rPr>
          <w:bCs/>
          <w:vertAlign w:val="superscript"/>
        </w:rPr>
        <w:t>e</w:t>
      </w:r>
      <w:r>
        <w:rPr>
          <w:bCs/>
        </w:rPr>
        <w:t xml:space="preserve"> Congrès de l'AFSE, 9-10 septembre 2010, Paris.</w:t>
      </w:r>
    </w:p>
    <w:p w:rsidR="005E78BE" w:rsidRPr="00EA5C49" w:rsidRDefault="005E78BE" w:rsidP="005E78BE">
      <w:pPr>
        <w:spacing w:line="360" w:lineRule="atLeast"/>
        <w:ind w:left="510"/>
        <w:rPr>
          <w:bCs/>
          <w:lang w:val="en-US"/>
        </w:rPr>
      </w:pPr>
      <w:r>
        <w:rPr>
          <w:lang w:val="en-GB"/>
        </w:rPr>
        <w:t xml:space="preserve">• </w:t>
      </w:r>
      <w:r>
        <w:rPr>
          <w:i/>
          <w:lang w:val="en-US"/>
        </w:rPr>
        <w:t>"</w:t>
      </w:r>
      <w:hyperlink r:id="rId16" w:history="1">
        <w:r>
          <w:rPr>
            <w:rStyle w:val="Lienhypertexte"/>
            <w:bCs/>
            <w:i/>
            <w:color w:val="auto"/>
            <w:u w:val="none"/>
            <w:lang w:val="en-US"/>
          </w:rPr>
          <w:t>Diversification, Risk and Performance in an Emerging Economy: Evidence from Philippine Banks</w:t>
        </w:r>
      </w:hyperlink>
      <w:r>
        <w:rPr>
          <w:bCs/>
          <w:i/>
          <w:lang w:val="en-US"/>
        </w:rPr>
        <w:t>"</w:t>
      </w:r>
      <w:r>
        <w:rPr>
          <w:bCs/>
          <w:lang w:val="en-US"/>
        </w:rPr>
        <w:t>, with C. Meslier and R. Tacneng,</w:t>
      </w:r>
    </w:p>
    <w:p w:rsidR="005E78BE" w:rsidRPr="00EA5C49" w:rsidRDefault="005E78BE" w:rsidP="005E78BE">
      <w:pPr>
        <w:numPr>
          <w:ilvl w:val="0"/>
          <w:numId w:val="5"/>
        </w:numPr>
        <w:rPr>
          <w:bCs/>
          <w:lang w:val="en-US"/>
        </w:rPr>
      </w:pPr>
      <w:r>
        <w:rPr>
          <w:bCs/>
          <w:lang w:val="en-US"/>
        </w:rPr>
        <w:t>Midwest Finance Association Meeting, 24-27 February 2010, Las Vegas.</w:t>
      </w:r>
    </w:p>
    <w:p w:rsidR="005E78BE" w:rsidRPr="000F4BE7" w:rsidRDefault="005E78BE" w:rsidP="005E78BE">
      <w:pPr>
        <w:numPr>
          <w:ilvl w:val="0"/>
          <w:numId w:val="5"/>
        </w:numPr>
        <w:rPr>
          <w:bCs/>
        </w:rPr>
      </w:pPr>
      <w:r>
        <w:t>27</w:t>
      </w:r>
      <w:r>
        <w:rPr>
          <w:vertAlign w:val="superscript"/>
        </w:rPr>
        <w:t>e</w:t>
      </w:r>
      <w:r>
        <w:t xml:space="preserve"> Journées d’Economie Monétaire et Bancaire – GdRE « Monnaie Banque Finance »,17-18 June 2010, Bordeaux </w:t>
      </w:r>
    </w:p>
    <w:p w:rsidR="000F4BE7" w:rsidRPr="00EA5C49" w:rsidRDefault="000F4BE7" w:rsidP="000F4BE7">
      <w:pPr>
        <w:ind w:left="426"/>
        <w:rPr>
          <w:bCs/>
          <w:lang w:val="en-US"/>
        </w:rPr>
      </w:pPr>
      <w:r>
        <w:rPr>
          <w:bCs/>
          <w:lang w:val="en-GB"/>
        </w:rPr>
        <w:t>•</w:t>
      </w:r>
      <w:r>
        <w:rPr>
          <w:bCs/>
          <w:i/>
          <w:lang w:val="id-ID"/>
        </w:rPr>
        <w:t xml:space="preserve">  “Bank competition, risk and capital ratios : evidence from Asia” </w:t>
      </w:r>
      <w:r>
        <w:rPr>
          <w:bCs/>
          <w:lang w:val="id-ID"/>
        </w:rPr>
        <w:t>with F. Machrouh and W. Soedarmono</w:t>
      </w:r>
      <w:r>
        <w:rPr>
          <w:bCs/>
          <w:lang w:val="en-US"/>
        </w:rPr>
        <w:t xml:space="preserve">, </w:t>
      </w:r>
    </w:p>
    <w:p w:rsidR="000F4BE7" w:rsidRPr="000F4BE7" w:rsidRDefault="000F4BE7" w:rsidP="000F4BE7">
      <w:pPr>
        <w:suppressAutoHyphens/>
        <w:ind w:left="1134"/>
        <w:jc w:val="both"/>
        <w:rPr>
          <w:noProof/>
          <w:lang w:val="en-GB"/>
        </w:rPr>
      </w:pPr>
      <w:r>
        <w:rPr>
          <w:bCs/>
          <w:lang w:val="en-US"/>
        </w:rPr>
        <w:t xml:space="preserve">-  </w:t>
      </w:r>
      <w:r>
        <w:rPr>
          <w:noProof/>
          <w:lang w:val="en-GB"/>
        </w:rPr>
        <w:t>French Finance Association Conference (AFFI), May 10-11, 2010, Saint Malo</w:t>
      </w:r>
    </w:p>
    <w:p w:rsidR="000F4BE7" w:rsidRPr="00595A80" w:rsidRDefault="000F4BE7" w:rsidP="00595A80">
      <w:pPr>
        <w:suppressAutoHyphens/>
        <w:ind w:left="720" w:firstLine="414"/>
        <w:jc w:val="both"/>
        <w:rPr>
          <w:noProof/>
          <w:lang w:val="en-GB"/>
        </w:rPr>
      </w:pPr>
      <w:r>
        <w:rPr>
          <w:noProof/>
          <w:lang w:val="en-GB"/>
        </w:rPr>
        <w:t>- 27</w:t>
      </w:r>
      <w:r>
        <w:rPr>
          <w:noProof/>
          <w:vertAlign w:val="superscript"/>
          <w:lang w:val="en-GB"/>
        </w:rPr>
        <w:t>th</w:t>
      </w:r>
      <w:r>
        <w:rPr>
          <w:noProof/>
          <w:lang w:val="en-GB"/>
        </w:rPr>
        <w:t xml:space="preserve"> GDR Symposium on Money, Banking and Finance, June 17-18, 2010, Bordeaux</w:t>
      </w:r>
    </w:p>
    <w:p w:rsidR="007546FC" w:rsidRPr="00EA5C49" w:rsidRDefault="000F4BE7" w:rsidP="009F27A1">
      <w:pPr>
        <w:ind w:left="426"/>
        <w:rPr>
          <w:bCs/>
          <w:lang w:val="en-US"/>
        </w:rPr>
      </w:pPr>
      <w:r>
        <w:rPr>
          <w:bCs/>
          <w:lang w:val="en-US"/>
        </w:rPr>
        <w:tab/>
      </w:r>
      <w:r>
        <w:rPr>
          <w:lang w:val="en-US"/>
        </w:rPr>
        <w:t xml:space="preserve"> </w:t>
      </w:r>
    </w:p>
    <w:p w:rsidR="005E78BE" w:rsidRPr="00D240D4" w:rsidRDefault="005E78BE" w:rsidP="005E78BE">
      <w:pPr>
        <w:ind w:left="510"/>
      </w:pPr>
      <w:r>
        <w:rPr>
          <w:lang w:val="en-US"/>
        </w:rPr>
        <w:t xml:space="preserve">• </w:t>
      </w:r>
      <w:r>
        <w:rPr>
          <w:i/>
          <w:lang w:val="en-US"/>
        </w:rPr>
        <w:t>"Changes in capital and risk: an empirical study of European banks"</w:t>
      </w:r>
      <w:r>
        <w:rPr>
          <w:lang w:val="en-US"/>
        </w:rPr>
        <w:t xml:space="preserve">, with B. Camara and L.  </w:t>
      </w:r>
      <w:r>
        <w:t>Lepetit,</w:t>
      </w:r>
    </w:p>
    <w:p w:rsidR="005E78BE" w:rsidRPr="007546FC" w:rsidRDefault="005E78BE" w:rsidP="005E78BE">
      <w:pPr>
        <w:numPr>
          <w:ilvl w:val="0"/>
          <w:numId w:val="3"/>
        </w:numPr>
        <w:tabs>
          <w:tab w:val="clear" w:pos="1320"/>
          <w:tab w:val="num" w:pos="993"/>
        </w:tabs>
      </w:pPr>
      <w:r>
        <w:t xml:space="preserve">Journée de l’AFSE 2010 : « Les politiques de sortie de crise », 3 et 4 Juin 2010, </w:t>
      </w:r>
      <w:r>
        <w:tab/>
        <w:t>Orléans.</w:t>
      </w:r>
    </w:p>
    <w:p w:rsidR="005E78BE" w:rsidRPr="00EA5C49" w:rsidRDefault="005E78BE" w:rsidP="005E78BE">
      <w:pPr>
        <w:numPr>
          <w:ilvl w:val="0"/>
          <w:numId w:val="3"/>
        </w:numPr>
        <w:rPr>
          <w:lang w:val="en-US"/>
        </w:rPr>
      </w:pPr>
      <w:r>
        <w:rPr>
          <w:lang w:val="en-US"/>
        </w:rPr>
        <w:t>44</w:t>
      </w:r>
      <w:r>
        <w:rPr>
          <w:vertAlign w:val="superscript"/>
          <w:lang w:val="en-US"/>
        </w:rPr>
        <w:t>th</w:t>
      </w:r>
      <w:r>
        <w:rPr>
          <w:lang w:val="en-US"/>
        </w:rPr>
        <w:t xml:space="preserve"> Annual Conference, Canadian Economic Association, 28-30 May 2010, Quebec City.</w:t>
      </w:r>
    </w:p>
    <w:p w:rsidR="005E78BE" w:rsidRPr="00782E3C" w:rsidRDefault="005E78BE" w:rsidP="005E78BE">
      <w:pPr>
        <w:numPr>
          <w:ilvl w:val="0"/>
          <w:numId w:val="3"/>
        </w:numPr>
      </w:pPr>
      <w:r>
        <w:rPr>
          <w:noProof/>
        </w:rPr>
        <w:t xml:space="preserve">INFINITI Conference, 14-15 June 2010, Dublin. </w:t>
      </w:r>
    </w:p>
    <w:p w:rsidR="005E78BE" w:rsidRPr="00782E3C" w:rsidRDefault="005E78BE" w:rsidP="005E78BE">
      <w:pPr>
        <w:numPr>
          <w:ilvl w:val="0"/>
          <w:numId w:val="3"/>
        </w:numPr>
      </w:pPr>
      <w:r>
        <w:t>27</w:t>
      </w:r>
      <w:r>
        <w:rPr>
          <w:vertAlign w:val="superscript"/>
        </w:rPr>
        <w:t>e</w:t>
      </w:r>
      <w:r>
        <w:t xml:space="preserve"> Journées d’Economie Monétaire et Bancaire – GdRE « Monnaie Banque Finance », 17-18 June 2010, Bordeaux.</w:t>
      </w:r>
    </w:p>
    <w:p w:rsidR="005E78BE" w:rsidRPr="00782E3C" w:rsidRDefault="005E78BE" w:rsidP="005E78BE">
      <w:pPr>
        <w:numPr>
          <w:ilvl w:val="0"/>
          <w:numId w:val="3"/>
        </w:numPr>
        <w:rPr>
          <w:lang w:val="en-GB"/>
        </w:rPr>
      </w:pPr>
      <w:r>
        <w:rPr>
          <w:lang w:val="en-US"/>
        </w:rPr>
        <w:t>The 8</w:t>
      </w:r>
      <w:r>
        <w:rPr>
          <w:vertAlign w:val="superscript"/>
          <w:lang w:val="en-US"/>
        </w:rPr>
        <w:t>th</w:t>
      </w:r>
      <w:r>
        <w:rPr>
          <w:lang w:val="en-US"/>
        </w:rPr>
        <w:t xml:space="preserve"> NTU International Conference on Economics, Finance and Accounting, 21-23 June 2010, Taipei.</w:t>
      </w:r>
    </w:p>
    <w:p w:rsidR="005E78BE" w:rsidRPr="00935C2F" w:rsidRDefault="005E78BE" w:rsidP="005E78BE">
      <w:pPr>
        <w:numPr>
          <w:ilvl w:val="0"/>
          <w:numId w:val="3"/>
        </w:numPr>
        <w:rPr>
          <w:lang w:val="en-GB"/>
        </w:rPr>
      </w:pPr>
      <w:r>
        <w:rPr>
          <w:bCs/>
          <w:lang w:val="en-GB"/>
        </w:rPr>
        <w:t>Western Economic Association, 85</w:t>
      </w:r>
      <w:r>
        <w:rPr>
          <w:bCs/>
          <w:vertAlign w:val="superscript"/>
          <w:lang w:val="en-GB"/>
        </w:rPr>
        <w:t>th</w:t>
      </w:r>
      <w:r>
        <w:rPr>
          <w:bCs/>
          <w:lang w:val="en-GB"/>
        </w:rPr>
        <w:t xml:space="preserve"> annual meeting, and IBEFA,  29 June-3 July, Portland (Oregon).</w:t>
      </w:r>
    </w:p>
    <w:p w:rsidR="005E78BE" w:rsidRDefault="005E78BE" w:rsidP="005E78BE">
      <w:pPr>
        <w:numPr>
          <w:ilvl w:val="0"/>
          <w:numId w:val="3"/>
        </w:numPr>
        <w:rPr>
          <w:lang w:val="en-GB"/>
        </w:rPr>
      </w:pPr>
      <w:r>
        <w:rPr>
          <w:lang w:val="en-GB"/>
        </w:rPr>
        <w:t>2010 FMA Annual Meeting, 20-23 October 2010, New York city.</w:t>
      </w:r>
    </w:p>
    <w:p w:rsidR="005E78BE" w:rsidRDefault="005E78BE" w:rsidP="005E78BE">
      <w:pPr>
        <w:numPr>
          <w:ilvl w:val="0"/>
          <w:numId w:val="3"/>
        </w:numPr>
        <w:rPr>
          <w:lang w:val="en-GB"/>
        </w:rPr>
      </w:pPr>
      <w:r>
        <w:rPr>
          <w:lang w:val="en-GB"/>
        </w:rPr>
        <w:t>2011 Midwest Finance Association Meeting, 2-5 March 2011, Chicago.</w:t>
      </w:r>
    </w:p>
    <w:p w:rsidR="005E78BE" w:rsidRPr="000F3CE6" w:rsidRDefault="005E78BE" w:rsidP="005E78BE">
      <w:pPr>
        <w:numPr>
          <w:ilvl w:val="0"/>
          <w:numId w:val="3"/>
        </w:numPr>
        <w:rPr>
          <w:lang w:val="en-GB"/>
        </w:rPr>
      </w:pPr>
      <w:r>
        <w:rPr>
          <w:lang w:val="en-GB"/>
        </w:rPr>
        <w:t>50</w:t>
      </w:r>
      <w:r>
        <w:rPr>
          <w:vertAlign w:val="superscript"/>
          <w:lang w:val="en-US"/>
        </w:rPr>
        <w:t>th</w:t>
      </w:r>
      <w:r>
        <w:rPr>
          <w:lang w:val="en-US"/>
        </w:rPr>
        <w:t xml:space="preserve"> Southwestern Finance Association Annual Meeting, 9-12 March 2011, Houston.</w:t>
      </w:r>
    </w:p>
    <w:p w:rsidR="005E78BE" w:rsidRPr="00DD6CDC" w:rsidRDefault="005E78BE" w:rsidP="005E78BE">
      <w:pPr>
        <w:numPr>
          <w:ilvl w:val="0"/>
          <w:numId w:val="3"/>
        </w:numPr>
        <w:rPr>
          <w:lang w:val="en-GB"/>
        </w:rPr>
      </w:pPr>
      <w:r>
        <w:rPr>
          <w:lang w:val="en-US"/>
        </w:rPr>
        <w:t>Global Finance Conference, 3-5 April 2011, Bangkok.</w:t>
      </w:r>
    </w:p>
    <w:p w:rsidR="00DD6CDC" w:rsidRPr="0033048A" w:rsidRDefault="00DD6CDC" w:rsidP="005E78BE">
      <w:pPr>
        <w:numPr>
          <w:ilvl w:val="0"/>
          <w:numId w:val="3"/>
        </w:numPr>
        <w:rPr>
          <w:lang w:val="en-GB"/>
        </w:rPr>
      </w:pPr>
      <w:r>
        <w:rPr>
          <w:lang w:val="en-US"/>
        </w:rPr>
        <w:t>International Finance And Banking Society (IFABS) Conference</w:t>
      </w:r>
      <w:r>
        <w:rPr>
          <w:u w:val="single"/>
          <w:lang w:val="en-US"/>
        </w:rPr>
        <w:t>,</w:t>
      </w:r>
      <w:r>
        <w:rPr>
          <w:lang w:val="en-US"/>
        </w:rPr>
        <w:t xml:space="preserve"> 30 June-2 July 2011, Rome.</w:t>
      </w:r>
      <w:r>
        <w:rPr>
          <w:lang w:val="en-GB"/>
        </w:rPr>
        <w:t xml:space="preserve"> </w:t>
      </w:r>
    </w:p>
    <w:p w:rsidR="00E83D98" w:rsidRPr="00EA5C49" w:rsidRDefault="007546FC" w:rsidP="00583F48">
      <w:pPr>
        <w:spacing w:line="360" w:lineRule="atLeast"/>
        <w:ind w:left="510"/>
        <w:rPr>
          <w:bCs/>
          <w:lang w:val="en-US"/>
        </w:rPr>
      </w:pPr>
      <w:r>
        <w:rPr>
          <w:lang w:val="en-GB"/>
        </w:rPr>
        <w:lastRenderedPageBreak/>
        <w:t>•</w:t>
      </w:r>
      <w:r>
        <w:rPr>
          <w:bCs/>
          <w:i/>
          <w:lang w:val="en-US"/>
        </w:rPr>
        <w:t xml:space="preserve">“Deposit Insurance, Moral hazard and Market discipline: Evidence from Central and </w:t>
      </w:r>
      <w:r>
        <w:rPr>
          <w:bCs/>
          <w:i/>
          <w:lang w:val="en-US"/>
        </w:rPr>
        <w:tab/>
      </w:r>
      <w:r>
        <w:rPr>
          <w:bCs/>
          <w:i/>
          <w:lang w:val="en-US"/>
        </w:rPr>
        <w:tab/>
        <w:t>Eastern European Banks”</w:t>
      </w:r>
      <w:r>
        <w:rPr>
          <w:bCs/>
          <w:lang w:val="en-US"/>
        </w:rPr>
        <w:t xml:space="preserve"> with I. Distinguin and T. Kouassi, </w:t>
      </w:r>
    </w:p>
    <w:p w:rsidR="005D1177" w:rsidRDefault="00E83D98" w:rsidP="00E83D98">
      <w:pPr>
        <w:spacing w:line="360" w:lineRule="atLeast"/>
        <w:ind w:left="993" w:hanging="283"/>
      </w:pPr>
      <w:r>
        <w:rPr>
          <w:bCs/>
          <w:lang w:val="en-US"/>
        </w:rPr>
        <w:tab/>
      </w:r>
      <w:r>
        <w:rPr>
          <w:bCs/>
        </w:rPr>
        <w:t xml:space="preserve">- </w:t>
      </w:r>
      <w:r>
        <w:t>27</w:t>
      </w:r>
      <w:r>
        <w:rPr>
          <w:vertAlign w:val="superscript"/>
        </w:rPr>
        <w:t>e</w:t>
      </w:r>
      <w:r>
        <w:t xml:space="preserve"> Journées d’Economie Monétaire et Bancaire – GdRE « Monnaie Banque Finance »,17-18 June 2010, Bordeaux.</w:t>
      </w:r>
    </w:p>
    <w:p w:rsidR="00E83D98" w:rsidRPr="00EA5C49" w:rsidRDefault="00E83D98" w:rsidP="00E83D98">
      <w:pPr>
        <w:spacing w:line="360" w:lineRule="atLeast"/>
        <w:ind w:left="993" w:hanging="283"/>
        <w:rPr>
          <w:lang w:val="en-US"/>
        </w:rPr>
      </w:pPr>
      <w:r>
        <w:tab/>
      </w:r>
      <w:r>
        <w:rPr>
          <w:lang w:val="en-US"/>
        </w:rPr>
        <w:t xml:space="preserve">- </w:t>
      </w:r>
      <w:r>
        <w:rPr>
          <w:i/>
          <w:iCs/>
          <w:lang w:val="en-US"/>
        </w:rPr>
        <w:t xml:space="preserve"> </w:t>
      </w:r>
      <w:r>
        <w:rPr>
          <w:lang w:val="en-US"/>
        </w:rPr>
        <w:t xml:space="preserve">45th Annual Conference,  Canadian Economic Association, 2-5 June 2011, Ottawa. </w:t>
      </w:r>
    </w:p>
    <w:p w:rsidR="005E78BE" w:rsidRPr="005E78BE" w:rsidRDefault="005E78BE" w:rsidP="00E83D98">
      <w:pPr>
        <w:spacing w:line="360" w:lineRule="atLeast"/>
        <w:ind w:left="993" w:hanging="283"/>
      </w:pPr>
      <w:r>
        <w:rPr>
          <w:lang w:val="en-US"/>
        </w:rPr>
        <w:tab/>
      </w:r>
      <w:r>
        <w:t>- 60</w:t>
      </w:r>
      <w:r>
        <w:rPr>
          <w:bCs/>
          <w:vertAlign w:val="superscript"/>
        </w:rPr>
        <w:t>ème</w:t>
      </w:r>
      <w:r>
        <w:rPr>
          <w:bCs/>
        </w:rPr>
        <w:t xml:space="preserve"> Congrès de l'Association Française de Science Économique, 8-9 Septembre 2011, Paris</w:t>
      </w:r>
    </w:p>
    <w:p w:rsidR="00710644" w:rsidRPr="00EA5C49" w:rsidRDefault="00E83D98" w:rsidP="005E78BE">
      <w:pPr>
        <w:spacing w:line="360" w:lineRule="atLeast"/>
        <w:ind w:left="993" w:hanging="283"/>
        <w:rPr>
          <w:lang w:val="en-US"/>
        </w:rPr>
      </w:pPr>
      <w:r>
        <w:tab/>
      </w:r>
      <w:r>
        <w:rPr>
          <w:lang w:val="en-US"/>
        </w:rPr>
        <w:t>- 2011 FMA Annual Meeting, 19-22 October 2011, Denver.</w:t>
      </w:r>
    </w:p>
    <w:p w:rsidR="00710644" w:rsidRPr="00EA5C49" w:rsidRDefault="00710644" w:rsidP="00710644">
      <w:pPr>
        <w:spacing w:line="360" w:lineRule="atLeast"/>
        <w:ind w:left="850" w:hanging="283"/>
        <w:rPr>
          <w:bCs/>
          <w:lang w:val="en-US"/>
        </w:rPr>
      </w:pPr>
      <w:r>
        <w:rPr>
          <w:lang w:val="en-GB"/>
        </w:rPr>
        <w:t>•</w:t>
      </w:r>
      <w:r>
        <w:rPr>
          <w:bCs/>
          <w:i/>
          <w:lang w:val="en-US"/>
        </w:rPr>
        <w:t>“</w:t>
      </w:r>
      <w:r>
        <w:rPr>
          <w:i/>
          <w:lang w:val="en-US"/>
        </w:rPr>
        <w:t>Bank market power, economic growth and financial stability : Evidence from Asian banks</w:t>
      </w:r>
      <w:r>
        <w:rPr>
          <w:lang w:val="en-US"/>
        </w:rPr>
        <w:t xml:space="preserve">", </w:t>
      </w:r>
      <w:r>
        <w:rPr>
          <w:bCs/>
          <w:lang w:val="id-ID"/>
        </w:rPr>
        <w:t>with F. Machrouh and W. Soedarmono</w:t>
      </w:r>
      <w:r>
        <w:rPr>
          <w:bCs/>
          <w:lang w:val="en-US"/>
        </w:rPr>
        <w:t>, ACAES conference, special issue on the US Crisis and Its Impact on the Asian economy, March, 2010, Kyoto.</w:t>
      </w:r>
    </w:p>
    <w:p w:rsidR="00D240D4" w:rsidRPr="00940525" w:rsidRDefault="00D240D4" w:rsidP="00D240D4">
      <w:pPr>
        <w:spacing w:line="360" w:lineRule="atLeast"/>
        <w:ind w:left="567"/>
        <w:rPr>
          <w:bCs/>
        </w:rPr>
      </w:pPr>
      <w:r>
        <w:rPr>
          <w:lang w:val="en-GB"/>
        </w:rPr>
        <w:t>•</w:t>
      </w:r>
      <w:r>
        <w:rPr>
          <w:bCs/>
          <w:i/>
          <w:lang w:val="en-US"/>
        </w:rPr>
        <w:t xml:space="preserve">“Risk and Stability in Islamic Banking", </w:t>
      </w:r>
      <w:r>
        <w:rPr>
          <w:bCs/>
          <w:lang w:val="en-US"/>
        </w:rPr>
        <w:t xml:space="preserve">with P. Abedifar and Phil. </w:t>
      </w:r>
      <w:r>
        <w:rPr>
          <w:bCs/>
        </w:rPr>
        <w:t>Molyneux,</w:t>
      </w:r>
    </w:p>
    <w:p w:rsidR="00D240D4" w:rsidRPr="00940525" w:rsidRDefault="00D240D4" w:rsidP="00D240D4">
      <w:pPr>
        <w:spacing w:line="360" w:lineRule="atLeast"/>
        <w:ind w:left="567" w:firstLine="426"/>
      </w:pPr>
      <w:r>
        <w:rPr>
          <w:bCs/>
        </w:rPr>
        <w:t xml:space="preserve">-  </w:t>
      </w:r>
      <w:r>
        <w:t>Journées Internationales du risque (JIR), 23 et 24 Juin 2011, Niort.</w:t>
      </w:r>
    </w:p>
    <w:p w:rsidR="00D240D4" w:rsidRPr="003C7D25" w:rsidRDefault="00D240D4" w:rsidP="00D240D4">
      <w:pPr>
        <w:spacing w:line="360" w:lineRule="atLeast"/>
        <w:ind w:left="567" w:firstLine="426"/>
        <w:rPr>
          <w:lang w:val="en-US"/>
        </w:rPr>
      </w:pPr>
      <w:r w:rsidRPr="003C7D25">
        <w:rPr>
          <w:lang w:val="en-US"/>
        </w:rPr>
        <w:t>-</w:t>
      </w:r>
      <w:r w:rsidRPr="003C7D25">
        <w:rPr>
          <w:bCs/>
          <w:lang w:val="en-US"/>
        </w:rPr>
        <w:t xml:space="preserve"> </w:t>
      </w:r>
      <w:r w:rsidRPr="003C7D25">
        <w:rPr>
          <w:lang w:val="en-US"/>
        </w:rPr>
        <w:t xml:space="preserve">FMA European </w:t>
      </w:r>
      <w:proofErr w:type="gramStart"/>
      <w:r w:rsidRPr="003C7D25">
        <w:rPr>
          <w:lang w:val="en-US"/>
        </w:rPr>
        <w:t>Conference,  8</w:t>
      </w:r>
      <w:proofErr w:type="gramEnd"/>
      <w:r w:rsidRPr="003C7D25">
        <w:rPr>
          <w:lang w:val="en-US"/>
        </w:rPr>
        <w:t>-10 June 2011, Porto.</w:t>
      </w:r>
    </w:p>
    <w:p w:rsidR="00D240D4" w:rsidRPr="00EA5C49" w:rsidRDefault="00D240D4" w:rsidP="00710644">
      <w:pPr>
        <w:spacing w:line="360" w:lineRule="atLeast"/>
        <w:ind w:left="567" w:firstLine="426"/>
        <w:rPr>
          <w:lang w:val="en-US"/>
        </w:rPr>
      </w:pPr>
      <w:r>
        <w:rPr>
          <w:lang w:val="en-US"/>
        </w:rPr>
        <w:t xml:space="preserve">- </w:t>
      </w:r>
      <w:r>
        <w:rPr>
          <w:bCs/>
          <w:lang w:val="en-US"/>
        </w:rPr>
        <w:t xml:space="preserve"> </w:t>
      </w:r>
      <w:r>
        <w:rPr>
          <w:lang w:val="en-US"/>
        </w:rPr>
        <w:t xml:space="preserve">International Finance </w:t>
      </w:r>
      <w:proofErr w:type="gramStart"/>
      <w:r>
        <w:rPr>
          <w:lang w:val="en-US"/>
        </w:rPr>
        <w:t>And</w:t>
      </w:r>
      <w:proofErr w:type="gramEnd"/>
      <w:r>
        <w:rPr>
          <w:lang w:val="en-US"/>
        </w:rPr>
        <w:t xml:space="preserve"> Banking Society (IFABS) Conference</w:t>
      </w:r>
      <w:r>
        <w:rPr>
          <w:u w:val="single"/>
          <w:lang w:val="en-US"/>
        </w:rPr>
        <w:t>,</w:t>
      </w:r>
      <w:r>
        <w:rPr>
          <w:lang w:val="en-US"/>
        </w:rPr>
        <w:t xml:space="preserve"> 30 June-2 July 2011, </w:t>
      </w:r>
      <w:r>
        <w:rPr>
          <w:lang w:val="en-US"/>
        </w:rPr>
        <w:tab/>
      </w:r>
      <w:r>
        <w:rPr>
          <w:lang w:val="en-US"/>
        </w:rPr>
        <w:tab/>
        <w:t>Rome</w:t>
      </w:r>
    </w:p>
    <w:p w:rsidR="00E83D98" w:rsidRPr="00EA5C49" w:rsidRDefault="00E83D98" w:rsidP="0033048A">
      <w:pPr>
        <w:spacing w:line="360" w:lineRule="atLeast"/>
        <w:ind w:left="567" w:firstLine="426"/>
        <w:rPr>
          <w:lang w:val="en-US"/>
        </w:rPr>
      </w:pPr>
      <w:r>
        <w:rPr>
          <w:lang w:val="en-US"/>
        </w:rPr>
        <w:t>- 2011 FMA Annual Meeting, 19-22 October 2011, Denver.</w:t>
      </w:r>
      <w:r>
        <w:rPr>
          <w:lang w:val="en-US"/>
        </w:rPr>
        <w:tab/>
        <w:t xml:space="preserve"> </w:t>
      </w:r>
    </w:p>
    <w:p w:rsidR="0033048A" w:rsidRPr="00EA5C49" w:rsidRDefault="00E83D98" w:rsidP="0033048A">
      <w:pPr>
        <w:spacing w:line="360" w:lineRule="atLeast"/>
        <w:ind w:left="567"/>
        <w:rPr>
          <w:bCs/>
          <w:lang w:val="en-US"/>
        </w:rPr>
      </w:pPr>
      <w:r>
        <w:rPr>
          <w:lang w:val="en-GB"/>
        </w:rPr>
        <w:t>•</w:t>
      </w:r>
      <w:r>
        <w:rPr>
          <w:bCs/>
          <w:i/>
          <w:lang w:val="en-US"/>
        </w:rPr>
        <w:t xml:space="preserve">“Risk in Islamic Banking", </w:t>
      </w:r>
      <w:r>
        <w:rPr>
          <w:bCs/>
          <w:lang w:val="en-US"/>
        </w:rPr>
        <w:t xml:space="preserve">P. Abedifar and Phil. Molyneux, Workshop on Islamic Finance and Financial Stability, European Central Bank, 26 January 2012. </w:t>
      </w:r>
    </w:p>
    <w:p w:rsidR="0033048A" w:rsidRPr="00EA5C49" w:rsidRDefault="0033048A" w:rsidP="0033048A">
      <w:pPr>
        <w:spacing w:line="360" w:lineRule="atLeast"/>
        <w:ind w:left="993" w:hanging="425"/>
        <w:rPr>
          <w:bCs/>
          <w:i/>
          <w:lang w:val="en-US"/>
        </w:rPr>
      </w:pPr>
      <w:r>
        <w:rPr>
          <w:lang w:val="en-GB"/>
        </w:rPr>
        <w:t>•</w:t>
      </w:r>
      <w:r>
        <w:rPr>
          <w:bCs/>
          <w:i/>
          <w:lang w:val="en-US"/>
        </w:rPr>
        <w:t>“Bank Diversification, Risk and Profitability in an Emerging Economy with Regulatory</w:t>
      </w:r>
    </w:p>
    <w:p w:rsidR="0033048A" w:rsidRPr="00EA5C49" w:rsidRDefault="0033048A" w:rsidP="0033048A">
      <w:pPr>
        <w:spacing w:line="360" w:lineRule="atLeast"/>
        <w:ind w:left="993" w:hanging="425"/>
        <w:rPr>
          <w:lang w:val="en-US"/>
        </w:rPr>
      </w:pPr>
      <w:r>
        <w:rPr>
          <w:bCs/>
          <w:i/>
          <w:lang w:val="en-US"/>
        </w:rPr>
        <w:t xml:space="preserve">Asset Structure Constraints: Evidence from the Philippines", </w:t>
      </w:r>
      <w:r>
        <w:rPr>
          <w:bCs/>
          <w:lang w:val="en-US"/>
        </w:rPr>
        <w:t xml:space="preserve">with C. Meslier and R. Tacneng, - </w:t>
      </w:r>
      <w:r>
        <w:rPr>
          <w:lang w:val="en-US"/>
        </w:rPr>
        <w:t xml:space="preserve">2011 FMA Annual Meeting, 19-22 October 2011, Denver. </w:t>
      </w:r>
    </w:p>
    <w:p w:rsidR="0033048A" w:rsidRPr="00EA5C49" w:rsidRDefault="0033048A" w:rsidP="00D240D4">
      <w:pPr>
        <w:spacing w:line="360" w:lineRule="atLeast"/>
        <w:ind w:left="567"/>
        <w:rPr>
          <w:bCs/>
          <w:lang w:val="en-US"/>
        </w:rPr>
      </w:pPr>
      <w:r>
        <w:rPr>
          <w:lang w:val="en-GB"/>
        </w:rPr>
        <w:t>•</w:t>
      </w:r>
      <w:r>
        <w:rPr>
          <w:bCs/>
          <w:i/>
          <w:lang w:val="en-US"/>
        </w:rPr>
        <w:t xml:space="preserve">“Does it pay to get connected : an examination of banks' alliance network and bond spread", </w:t>
      </w:r>
      <w:r>
        <w:rPr>
          <w:bCs/>
          <w:lang w:val="en-US"/>
        </w:rPr>
        <w:t xml:space="preserve">with C. Meslier, I. Hasan and M. Zhou, </w:t>
      </w:r>
    </w:p>
    <w:p w:rsidR="00D240D4" w:rsidRPr="00EA5C49" w:rsidRDefault="0033048A" w:rsidP="0033048A">
      <w:pPr>
        <w:spacing w:line="360" w:lineRule="atLeast"/>
        <w:ind w:left="993" w:hanging="426"/>
        <w:rPr>
          <w:lang w:val="en-US"/>
        </w:rPr>
      </w:pPr>
      <w:r>
        <w:rPr>
          <w:bCs/>
          <w:lang w:val="en-US"/>
        </w:rPr>
        <w:tab/>
        <w:t xml:space="preserve">- </w:t>
      </w:r>
      <w:r>
        <w:rPr>
          <w:lang w:val="en-US"/>
        </w:rPr>
        <w:t>2011 FMA Annual Meeting, 19-22 October 2011, Denver.</w:t>
      </w:r>
    </w:p>
    <w:p w:rsidR="00942308" w:rsidRDefault="00942308" w:rsidP="00942308">
      <w:pPr>
        <w:spacing w:line="360" w:lineRule="atLeast"/>
        <w:ind w:left="993" w:hanging="426"/>
        <w:rPr>
          <w:iCs/>
          <w:lang w:val="en-GB"/>
        </w:rPr>
      </w:pPr>
      <w:r>
        <w:rPr>
          <w:lang w:val="en-GB"/>
        </w:rPr>
        <w:t xml:space="preserve">• </w:t>
      </w:r>
      <w:r>
        <w:rPr>
          <w:i/>
          <w:iCs/>
          <w:lang w:val="en-GB"/>
        </w:rPr>
        <w:t xml:space="preserve">"Bank capital buffer and Liquidity: Evidence from US and European publicly traded banks", </w:t>
      </w:r>
      <w:r>
        <w:rPr>
          <w:iCs/>
          <w:lang w:val="en-GB"/>
        </w:rPr>
        <w:t>with I. Distinguin and C. Roulet,</w:t>
      </w:r>
    </w:p>
    <w:p w:rsidR="00EF5982" w:rsidRPr="00EA5C49" w:rsidRDefault="00EF5982" w:rsidP="00942308">
      <w:pPr>
        <w:spacing w:line="360" w:lineRule="atLeast"/>
        <w:ind w:left="993" w:hanging="426"/>
        <w:rPr>
          <w:lang w:val="en-US"/>
        </w:rPr>
      </w:pPr>
      <w:r>
        <w:rPr>
          <w:iCs/>
          <w:lang w:val="en-GB"/>
        </w:rPr>
        <w:tab/>
        <w:t xml:space="preserve">- </w:t>
      </w:r>
      <w:r>
        <w:rPr>
          <w:lang w:val="en-US"/>
        </w:rPr>
        <w:t>International Finance And Banking Society (IFABS) Conference, 30 June-2 July 2011, Rome.</w:t>
      </w:r>
    </w:p>
    <w:p w:rsidR="00EF5982" w:rsidRDefault="00EF5982" w:rsidP="00942308">
      <w:pPr>
        <w:spacing w:line="360" w:lineRule="atLeast"/>
        <w:ind w:left="993" w:hanging="426"/>
        <w:rPr>
          <w:bCs/>
          <w:lang w:val="en-GB"/>
        </w:rPr>
      </w:pPr>
      <w:r>
        <w:rPr>
          <w:lang w:val="en-US"/>
        </w:rPr>
        <w:tab/>
        <w:t xml:space="preserve">- </w:t>
      </w:r>
      <w:r>
        <w:rPr>
          <w:bCs/>
          <w:lang w:val="en-GB"/>
        </w:rPr>
        <w:t>Western Economic Association, 86</w:t>
      </w:r>
      <w:r>
        <w:rPr>
          <w:bCs/>
          <w:vertAlign w:val="superscript"/>
          <w:lang w:val="en-GB"/>
        </w:rPr>
        <w:t>th</w:t>
      </w:r>
      <w:r>
        <w:rPr>
          <w:bCs/>
          <w:lang w:val="en-GB"/>
        </w:rPr>
        <w:t xml:space="preserve"> annual meeting, and IBEFA,  29 June-3 July 2011, </w:t>
      </w:r>
    </w:p>
    <w:p w:rsidR="00EF5982" w:rsidRPr="00E048CD" w:rsidRDefault="00EF5982" w:rsidP="00942308">
      <w:pPr>
        <w:spacing w:line="360" w:lineRule="atLeast"/>
        <w:ind w:left="993" w:hanging="426"/>
        <w:rPr>
          <w:bCs/>
        </w:rPr>
      </w:pPr>
      <w:r>
        <w:rPr>
          <w:bCs/>
          <w:lang w:val="en-GB"/>
        </w:rPr>
        <w:tab/>
      </w:r>
      <w:r>
        <w:rPr>
          <w:bCs/>
        </w:rPr>
        <w:t>San Diego.</w:t>
      </w:r>
    </w:p>
    <w:p w:rsidR="00EF5982" w:rsidRDefault="00EF5982" w:rsidP="00942308">
      <w:pPr>
        <w:spacing w:line="360" w:lineRule="atLeast"/>
        <w:ind w:left="993" w:hanging="426"/>
        <w:rPr>
          <w:bCs/>
        </w:rPr>
      </w:pPr>
      <w:r>
        <w:rPr>
          <w:bCs/>
        </w:rPr>
        <w:tab/>
        <w:t xml:space="preserve">- </w:t>
      </w:r>
      <w:r>
        <w:t>60</w:t>
      </w:r>
      <w:r>
        <w:rPr>
          <w:bCs/>
          <w:vertAlign w:val="superscript"/>
        </w:rPr>
        <w:t>ème</w:t>
      </w:r>
      <w:r>
        <w:rPr>
          <w:bCs/>
        </w:rPr>
        <w:t xml:space="preserve"> Congrès de l'Association Française de Science Économique, 8-9 Septembre 2011, Paris. </w:t>
      </w:r>
    </w:p>
    <w:p w:rsidR="00EF5982" w:rsidRPr="00EA5C49" w:rsidRDefault="00EF5982" w:rsidP="00EF5982">
      <w:pPr>
        <w:spacing w:line="360" w:lineRule="atLeast"/>
        <w:ind w:left="993" w:hanging="426"/>
        <w:rPr>
          <w:lang w:val="en-US"/>
        </w:rPr>
      </w:pPr>
      <w:r>
        <w:rPr>
          <w:bCs/>
        </w:rPr>
        <w:tab/>
      </w:r>
      <w:r>
        <w:rPr>
          <w:bCs/>
          <w:lang w:val="en-US"/>
        </w:rPr>
        <w:t>-  24</w:t>
      </w:r>
      <w:r>
        <w:rPr>
          <w:bCs/>
          <w:vertAlign w:val="superscript"/>
          <w:lang w:val="en-US"/>
        </w:rPr>
        <w:t>th</w:t>
      </w:r>
      <w:r>
        <w:rPr>
          <w:bCs/>
          <w:lang w:val="en-US"/>
        </w:rPr>
        <w:t xml:space="preserve"> </w:t>
      </w:r>
      <w:r>
        <w:rPr>
          <w:lang w:val="en-US"/>
        </w:rPr>
        <w:t>Australasian Finance &amp; Banking Conference, 14-16 December 2011, Sydney,</w:t>
      </w:r>
    </w:p>
    <w:p w:rsidR="007F2302" w:rsidRPr="00EA5C49" w:rsidRDefault="007F2302" w:rsidP="00EF5982">
      <w:pPr>
        <w:spacing w:line="360" w:lineRule="atLeast"/>
        <w:ind w:left="993" w:hanging="426"/>
        <w:rPr>
          <w:lang w:val="en-US"/>
        </w:rPr>
      </w:pPr>
      <w:r>
        <w:rPr>
          <w:lang w:val="en-US"/>
        </w:rPr>
        <w:tab/>
        <w:t>- Asia-Pacific Business Research Conference, 13-14 February 2012, Kuala Lumpur,</w:t>
      </w:r>
    </w:p>
    <w:p w:rsidR="00EF5982" w:rsidRPr="00EA5C49" w:rsidRDefault="00EF5982" w:rsidP="00EF5982">
      <w:pPr>
        <w:spacing w:line="360" w:lineRule="atLeast"/>
        <w:ind w:left="993" w:hanging="426"/>
        <w:rPr>
          <w:lang w:val="en-US"/>
        </w:rPr>
      </w:pPr>
      <w:r>
        <w:rPr>
          <w:lang w:val="en-US"/>
        </w:rPr>
        <w:tab/>
        <w:t xml:space="preserve">- </w:t>
      </w:r>
      <w:r>
        <w:rPr>
          <w:lang w:val="en-GB"/>
        </w:rPr>
        <w:t>51</w:t>
      </w:r>
      <w:r>
        <w:rPr>
          <w:vertAlign w:val="superscript"/>
          <w:lang w:val="en-US"/>
        </w:rPr>
        <w:t>th</w:t>
      </w:r>
      <w:r>
        <w:rPr>
          <w:lang w:val="en-US"/>
        </w:rPr>
        <w:t xml:space="preserve"> Southwestern Finance Association Annual Meeting, 28 February-3 March 2012, New Orleans.</w:t>
      </w:r>
    </w:p>
    <w:p w:rsidR="00A00B7E" w:rsidRPr="00EA5C49" w:rsidRDefault="00A00B7E" w:rsidP="00A00B7E">
      <w:pPr>
        <w:spacing w:line="360" w:lineRule="atLeast"/>
        <w:ind w:left="993" w:hanging="426"/>
        <w:rPr>
          <w:u w:val="single"/>
          <w:lang w:val="en-US"/>
        </w:rPr>
      </w:pPr>
      <w:r>
        <w:rPr>
          <w:lang w:val="en-GB"/>
        </w:rPr>
        <w:t xml:space="preserve">• </w:t>
      </w:r>
      <w:r>
        <w:rPr>
          <w:i/>
          <w:iCs/>
          <w:lang w:val="en-US"/>
        </w:rPr>
        <w:t>"Bank market power, institutional development and economic growth: Evidence from Asia"</w:t>
      </w:r>
      <w:r>
        <w:rPr>
          <w:lang w:val="en-US"/>
        </w:rPr>
        <w:t>, with B. Sutopo, A. Atmaji and W. Soedarmono,</w:t>
      </w:r>
      <w:r>
        <w:rPr>
          <w:u w:val="single"/>
          <w:lang w:val="en-US"/>
        </w:rPr>
        <w:t xml:space="preserve"> </w:t>
      </w:r>
    </w:p>
    <w:p w:rsidR="00A00B7E" w:rsidRPr="00EA5C49" w:rsidRDefault="00A00B7E" w:rsidP="00A00B7E">
      <w:pPr>
        <w:spacing w:line="360" w:lineRule="atLeast"/>
        <w:ind w:left="993" w:hanging="426"/>
        <w:rPr>
          <w:lang w:val="en-US"/>
        </w:rPr>
      </w:pPr>
      <w:r>
        <w:rPr>
          <w:lang w:val="en-US"/>
        </w:rPr>
        <w:tab/>
        <w:t>- Singapore Economic Review conference, 4-6 August 2011, Singapore.</w:t>
      </w:r>
    </w:p>
    <w:p w:rsidR="00245B2B" w:rsidRPr="00EA5C49" w:rsidRDefault="00245B2B" w:rsidP="00245B2B">
      <w:pPr>
        <w:spacing w:line="360" w:lineRule="atLeast"/>
        <w:ind w:left="993" w:hanging="426"/>
        <w:rPr>
          <w:bCs/>
          <w:lang w:val="en-US"/>
        </w:rPr>
      </w:pPr>
      <w:r>
        <w:rPr>
          <w:lang w:val="en-GB"/>
        </w:rPr>
        <w:lastRenderedPageBreak/>
        <w:t>•</w:t>
      </w:r>
      <w:r>
        <w:rPr>
          <w:bCs/>
          <w:i/>
          <w:lang w:val="en-US"/>
        </w:rPr>
        <w:t>“</w:t>
      </w:r>
      <w:r>
        <w:rPr>
          <w:rFonts w:eastAsiaTheme="minorEastAsia"/>
          <w:sz w:val="20"/>
          <w:lang w:val="en-US" w:eastAsia="en-US"/>
        </w:rPr>
        <w:t xml:space="preserve"> </w:t>
      </w:r>
      <w:r>
        <w:rPr>
          <w:bCs/>
          <w:i/>
          <w:lang w:val="en-US"/>
        </w:rPr>
        <w:t>Bank Analysts and Bank rating Agencies : who knows what when?"</w:t>
      </w:r>
      <w:r>
        <w:rPr>
          <w:bCs/>
          <w:lang w:val="en-US"/>
        </w:rPr>
        <w:t>, with C.J. Lu, I. Distinguin and Y. Chang, Workshop Issues in Banking and Governance, 9 November 2011, Limoges.</w:t>
      </w:r>
    </w:p>
    <w:p w:rsidR="0062603D" w:rsidRPr="0062603D" w:rsidRDefault="0062603D" w:rsidP="00EF5982">
      <w:pPr>
        <w:spacing w:line="360" w:lineRule="atLeast"/>
        <w:ind w:left="993" w:hanging="426"/>
        <w:rPr>
          <w:iCs/>
          <w:lang w:val="en-GB"/>
        </w:rPr>
      </w:pPr>
      <w:r>
        <w:rPr>
          <w:lang w:val="en-GB"/>
        </w:rPr>
        <w:t xml:space="preserve">• </w:t>
      </w:r>
      <w:r>
        <w:rPr>
          <w:i/>
          <w:iCs/>
          <w:lang w:val="en-GB"/>
        </w:rPr>
        <w:t xml:space="preserve">"Bank regulatory capital buffer and Liquidity: Evidence from US and European publicly traded banks", </w:t>
      </w:r>
      <w:r>
        <w:rPr>
          <w:iCs/>
          <w:lang w:val="en-GB"/>
        </w:rPr>
        <w:t>with I. Distinguin and C. Roulet,</w:t>
      </w:r>
    </w:p>
    <w:p w:rsidR="003F1B84" w:rsidRPr="00EA5C49" w:rsidRDefault="003F1B84" w:rsidP="003F1B84">
      <w:pPr>
        <w:spacing w:line="360" w:lineRule="atLeast"/>
        <w:ind w:left="993" w:hanging="426"/>
        <w:rPr>
          <w:iCs/>
          <w:lang w:val="en-US"/>
        </w:rPr>
      </w:pPr>
      <w:r>
        <w:rPr>
          <w:lang w:val="en-US"/>
        </w:rPr>
        <w:tab/>
        <w:t xml:space="preserve">-  </w:t>
      </w:r>
      <w:r>
        <w:rPr>
          <w:iCs/>
          <w:lang w:val="en-US"/>
        </w:rPr>
        <w:t xml:space="preserve">Conference of the French Finance Association, AFFI, May 2012, Strasbourg. </w:t>
      </w:r>
    </w:p>
    <w:p w:rsidR="00A00B7E" w:rsidRPr="00EA5C49" w:rsidRDefault="003F1B84" w:rsidP="00EF5982">
      <w:pPr>
        <w:spacing w:line="360" w:lineRule="atLeast"/>
        <w:ind w:left="993" w:hanging="426"/>
        <w:rPr>
          <w:iCs/>
          <w:lang w:val="en-US"/>
        </w:rPr>
      </w:pPr>
      <w:r>
        <w:rPr>
          <w:iCs/>
          <w:lang w:val="en-US"/>
        </w:rPr>
        <w:tab/>
        <w:t>- 3rd World Finance Conference, 2-4 July 2012, Rio de Janeiro.</w:t>
      </w:r>
    </w:p>
    <w:p w:rsidR="00D55A86" w:rsidRPr="00EA5C49" w:rsidRDefault="009F27A1" w:rsidP="00EF5982">
      <w:pPr>
        <w:spacing w:line="360" w:lineRule="atLeast"/>
        <w:ind w:left="993" w:hanging="426"/>
        <w:rPr>
          <w:iCs/>
          <w:lang w:val="en-US"/>
        </w:rPr>
      </w:pPr>
      <w:r>
        <w:rPr>
          <w:iCs/>
          <w:lang w:val="en-US"/>
        </w:rPr>
        <w:tab/>
        <w:t xml:space="preserve">- VII Annual Seminar on Risk, Financial Stability and Banking, August 2012, Sao Paulo.    </w:t>
      </w:r>
      <w:r>
        <w:rPr>
          <w:lang w:val="en-US" w:eastAsia="zh-TW" w:bidi="he-IL"/>
        </w:rPr>
        <w:t xml:space="preserve"> </w:t>
      </w:r>
    </w:p>
    <w:p w:rsidR="003F1B84" w:rsidRPr="00EA5C49" w:rsidRDefault="003F1B84" w:rsidP="00EF5982">
      <w:pPr>
        <w:spacing w:line="360" w:lineRule="atLeast"/>
        <w:ind w:left="993" w:hanging="426"/>
        <w:rPr>
          <w:iCs/>
          <w:lang w:val="en-US"/>
        </w:rPr>
      </w:pPr>
      <w:r>
        <w:rPr>
          <w:lang w:val="en-GB"/>
        </w:rPr>
        <w:t>• “</w:t>
      </w:r>
      <w:r>
        <w:rPr>
          <w:i/>
          <w:iCs/>
          <w:lang w:val="en-US"/>
        </w:rPr>
        <w:t xml:space="preserve">Interbank Deposits and Market Discipline: Evidence from Central and Eastern Europe", </w:t>
      </w:r>
      <w:r>
        <w:rPr>
          <w:iCs/>
          <w:lang w:val="en-US"/>
        </w:rPr>
        <w:t xml:space="preserve">with I. Distinguin and T. Kouassi, Conference of the French Finance Association, AFFI, May 2012, Strasbourg. </w:t>
      </w:r>
    </w:p>
    <w:p w:rsidR="00A00B7E" w:rsidRPr="00EA5C49" w:rsidRDefault="00A00B7E" w:rsidP="00A00B7E">
      <w:pPr>
        <w:spacing w:line="360" w:lineRule="atLeast"/>
        <w:ind w:left="993" w:hanging="426"/>
        <w:rPr>
          <w:bCs/>
          <w:lang w:val="en-US"/>
        </w:rPr>
      </w:pPr>
      <w:r>
        <w:rPr>
          <w:lang w:val="en-GB"/>
        </w:rPr>
        <w:t>•</w:t>
      </w:r>
      <w:r>
        <w:rPr>
          <w:bCs/>
          <w:i/>
          <w:lang w:val="en-US"/>
        </w:rPr>
        <w:t>“</w:t>
      </w:r>
      <w:r>
        <w:rPr>
          <w:rFonts w:eastAsiaTheme="minorEastAsia"/>
          <w:sz w:val="20"/>
          <w:lang w:val="en-US" w:eastAsia="en-US"/>
        </w:rPr>
        <w:t xml:space="preserve"> </w:t>
      </w:r>
      <w:r>
        <w:rPr>
          <w:bCs/>
          <w:i/>
          <w:lang w:val="en-US"/>
        </w:rPr>
        <w:t>Bigger And Wider:  The Benefits of Geographic Diversification in Banking"</w:t>
      </w:r>
      <w:r>
        <w:rPr>
          <w:bCs/>
          <w:lang w:val="en-US"/>
        </w:rPr>
        <w:t xml:space="preserve">, with C. Meslier, D. Morgan and K. Samolyk, </w:t>
      </w:r>
    </w:p>
    <w:p w:rsidR="00245B2B" w:rsidRPr="00EA5C49" w:rsidRDefault="00245B2B" w:rsidP="00A00B7E">
      <w:pPr>
        <w:spacing w:line="360" w:lineRule="atLeast"/>
        <w:ind w:left="993" w:hanging="426"/>
        <w:rPr>
          <w:bCs/>
          <w:lang w:val="en-US"/>
        </w:rPr>
      </w:pPr>
      <w:r>
        <w:rPr>
          <w:bCs/>
          <w:lang w:val="en-US"/>
        </w:rPr>
        <w:tab/>
        <w:t xml:space="preserve">- Workshop Issues in Banking and Governance, 9 November 2011, Limoges. </w:t>
      </w:r>
    </w:p>
    <w:p w:rsidR="00EB7938" w:rsidRDefault="00EB7938" w:rsidP="00EB7938">
      <w:pPr>
        <w:spacing w:line="360" w:lineRule="atLeast"/>
        <w:ind w:left="993" w:hanging="426"/>
        <w:rPr>
          <w:bCs/>
          <w:lang w:val="en-GB"/>
        </w:rPr>
      </w:pPr>
      <w:r>
        <w:rPr>
          <w:bCs/>
          <w:lang w:val="en-US"/>
        </w:rPr>
        <w:tab/>
        <w:t xml:space="preserve">- </w:t>
      </w:r>
      <w:r>
        <w:rPr>
          <w:bCs/>
          <w:lang w:val="en-GB"/>
        </w:rPr>
        <w:t>Western Economic Association, 87</w:t>
      </w:r>
      <w:r>
        <w:rPr>
          <w:bCs/>
          <w:vertAlign w:val="superscript"/>
          <w:lang w:val="en-GB"/>
        </w:rPr>
        <w:t>th</w:t>
      </w:r>
      <w:r>
        <w:rPr>
          <w:bCs/>
          <w:lang w:val="en-GB"/>
        </w:rPr>
        <w:t xml:space="preserve"> annual meeting, and IBEFA,  30 June-3 July 2012, </w:t>
      </w:r>
    </w:p>
    <w:p w:rsidR="00EB7938" w:rsidRPr="00EA5C49" w:rsidRDefault="00EB7938" w:rsidP="00EB7938">
      <w:pPr>
        <w:spacing w:line="360" w:lineRule="atLeast"/>
        <w:ind w:left="993" w:hanging="426"/>
        <w:rPr>
          <w:bCs/>
          <w:lang w:val="en-US"/>
        </w:rPr>
      </w:pPr>
      <w:r>
        <w:rPr>
          <w:bCs/>
          <w:lang w:val="en-GB"/>
        </w:rPr>
        <w:tab/>
      </w:r>
      <w:r>
        <w:rPr>
          <w:bCs/>
          <w:lang w:val="en-US"/>
        </w:rPr>
        <w:t xml:space="preserve">San Francisco. </w:t>
      </w:r>
    </w:p>
    <w:p w:rsidR="00EB7938" w:rsidRPr="00EA5C49" w:rsidRDefault="00EB7938" w:rsidP="00EB7938">
      <w:pPr>
        <w:spacing w:line="360" w:lineRule="atLeast"/>
        <w:ind w:left="993" w:hanging="426"/>
        <w:rPr>
          <w:bCs/>
          <w:lang w:val="en-US"/>
        </w:rPr>
      </w:pPr>
      <w:r>
        <w:rPr>
          <w:bCs/>
          <w:lang w:val="en-US"/>
        </w:rPr>
        <w:tab/>
        <w:t xml:space="preserve">- </w:t>
      </w:r>
      <w:r>
        <w:rPr>
          <w:lang w:val="en-US"/>
        </w:rPr>
        <w:t>2012 FMA Annual Meeting, 17-20 October 2012, Atlanta.</w:t>
      </w:r>
    </w:p>
    <w:p w:rsidR="00B0623D" w:rsidRPr="00EA5C49" w:rsidRDefault="00EB7938" w:rsidP="002C6676">
      <w:pPr>
        <w:spacing w:line="360" w:lineRule="atLeast"/>
        <w:ind w:left="993" w:hanging="426"/>
        <w:rPr>
          <w:bCs/>
          <w:lang w:val="en-US"/>
        </w:rPr>
      </w:pPr>
      <w:r>
        <w:rPr>
          <w:lang w:val="en-GB"/>
        </w:rPr>
        <w:t xml:space="preserve">• </w:t>
      </w:r>
      <w:r>
        <w:rPr>
          <w:i/>
          <w:iCs/>
          <w:lang w:val="en-GB"/>
        </w:rPr>
        <w:t>"</w:t>
      </w:r>
      <w:r>
        <w:rPr>
          <w:sz w:val="26"/>
          <w:szCs w:val="26"/>
          <w:lang w:val="en-US" w:eastAsia="ar-SA"/>
        </w:rPr>
        <w:t xml:space="preserve"> </w:t>
      </w:r>
      <w:r>
        <w:rPr>
          <w:i/>
          <w:iCs/>
          <w:lang w:val="en-US"/>
        </w:rPr>
        <w:t>Bank Regulatory Capital Adjustment and Ultimate Ownership Structure: Evidence from European Commercial Banks</w:t>
      </w:r>
      <w:r>
        <w:rPr>
          <w:i/>
          <w:iCs/>
          <w:lang w:val="en-GB"/>
        </w:rPr>
        <w:t xml:space="preserve">, </w:t>
      </w:r>
      <w:r>
        <w:rPr>
          <w:iCs/>
          <w:lang w:val="en-GB"/>
        </w:rPr>
        <w:t xml:space="preserve">with L. Lepetit and N. Zedek, </w:t>
      </w:r>
      <w:r>
        <w:rPr>
          <w:bCs/>
          <w:lang w:val="en-US"/>
        </w:rPr>
        <w:t>29th GdRE Annual International Symposium on Money, Banking and Finance</w:t>
      </w:r>
      <w:r>
        <w:rPr>
          <w:b/>
          <w:bCs/>
          <w:lang w:val="en-US"/>
        </w:rPr>
        <w:t xml:space="preserve">, </w:t>
      </w:r>
      <w:r>
        <w:rPr>
          <w:bCs/>
          <w:lang w:val="en-US"/>
        </w:rPr>
        <w:t>28-29</w:t>
      </w:r>
      <w:r>
        <w:rPr>
          <w:b/>
          <w:bCs/>
          <w:lang w:val="en-US"/>
        </w:rPr>
        <w:t xml:space="preserve"> </w:t>
      </w:r>
      <w:r>
        <w:rPr>
          <w:bCs/>
          <w:lang w:val="en-US"/>
        </w:rPr>
        <w:t>June 2012, Nantes.</w:t>
      </w:r>
    </w:p>
    <w:p w:rsidR="002C6676" w:rsidRDefault="002C6676" w:rsidP="002C6676">
      <w:pPr>
        <w:spacing w:line="360" w:lineRule="atLeast"/>
        <w:ind w:left="993" w:hanging="426"/>
        <w:rPr>
          <w:bCs/>
          <w:iCs/>
          <w:lang w:val="en-GB"/>
        </w:rPr>
      </w:pPr>
      <w:r>
        <w:rPr>
          <w:bCs/>
          <w:lang w:val="en-GB"/>
        </w:rPr>
        <w:t xml:space="preserve">• </w:t>
      </w:r>
      <w:r>
        <w:rPr>
          <w:bCs/>
          <w:i/>
          <w:iCs/>
          <w:lang w:val="en-GB"/>
        </w:rPr>
        <w:t xml:space="preserve">"Bank regulatory capital and Liquidity: Evidence from US and European publicly traded banks", </w:t>
      </w:r>
      <w:r>
        <w:rPr>
          <w:bCs/>
          <w:iCs/>
          <w:lang w:val="en-GB"/>
        </w:rPr>
        <w:t>with I. Distinguin and C. Roulet,</w:t>
      </w:r>
    </w:p>
    <w:p w:rsidR="002C6676" w:rsidRPr="00EA5C49" w:rsidRDefault="002C6676" w:rsidP="002C6676">
      <w:pPr>
        <w:spacing w:line="360" w:lineRule="atLeast"/>
        <w:ind w:left="993" w:hanging="426"/>
        <w:rPr>
          <w:lang w:val="en-US"/>
        </w:rPr>
      </w:pPr>
      <w:r>
        <w:rPr>
          <w:bCs/>
          <w:iCs/>
          <w:lang w:val="en-GB"/>
        </w:rPr>
        <w:tab/>
        <w:t xml:space="preserve">- </w:t>
      </w:r>
      <w:r>
        <w:rPr>
          <w:bCs/>
          <w:lang w:val="en-US"/>
        </w:rPr>
        <w:t xml:space="preserve"> </w:t>
      </w:r>
      <w:r>
        <w:rPr>
          <w:lang w:val="en-US"/>
        </w:rPr>
        <w:t>2012 FMA Annual Meeting, 17-20 October 2012, Atlanta.</w:t>
      </w:r>
    </w:p>
    <w:p w:rsidR="002C6676" w:rsidRPr="00EA5C49" w:rsidRDefault="002C6676" w:rsidP="002C6676">
      <w:pPr>
        <w:spacing w:line="360" w:lineRule="atLeast"/>
        <w:ind w:left="993" w:hanging="426"/>
        <w:rPr>
          <w:lang w:val="en-US"/>
        </w:rPr>
      </w:pPr>
      <w:r>
        <w:rPr>
          <w:lang w:val="en-US"/>
        </w:rPr>
        <w:tab/>
        <w:t xml:space="preserve">- American Economic Association (AEA)/Association of financial Economists (AFE) meeting, 4-6 January 2013, San Diego. </w:t>
      </w:r>
    </w:p>
    <w:p w:rsidR="00B0623D" w:rsidRDefault="00B0623D" w:rsidP="002C6676">
      <w:pPr>
        <w:spacing w:line="360" w:lineRule="atLeast"/>
        <w:ind w:left="993" w:hanging="426"/>
        <w:rPr>
          <w:iCs/>
          <w:lang w:val="en-GB"/>
        </w:rPr>
      </w:pPr>
      <w:r>
        <w:rPr>
          <w:lang w:val="en-GB"/>
        </w:rPr>
        <w:t xml:space="preserve">• </w:t>
      </w:r>
      <w:r>
        <w:rPr>
          <w:i/>
          <w:iCs/>
          <w:lang w:val="en-GB"/>
        </w:rPr>
        <w:t>"</w:t>
      </w:r>
      <w:r>
        <w:rPr>
          <w:sz w:val="26"/>
          <w:szCs w:val="26"/>
          <w:lang w:val="en-US" w:eastAsia="ar-SA"/>
        </w:rPr>
        <w:t xml:space="preserve"> </w:t>
      </w:r>
      <w:r>
        <w:rPr>
          <w:i/>
          <w:iCs/>
          <w:lang w:val="en-US"/>
        </w:rPr>
        <w:t>Ultimate Ownership Structure and Bank Regulatory Capital Adjustment : Evidence from European Commercial Banks</w:t>
      </w:r>
      <w:r>
        <w:rPr>
          <w:i/>
          <w:iCs/>
          <w:lang w:val="en-GB"/>
        </w:rPr>
        <w:t xml:space="preserve">, </w:t>
      </w:r>
      <w:r>
        <w:rPr>
          <w:iCs/>
          <w:lang w:val="en-GB"/>
        </w:rPr>
        <w:t>with L. Lepetit and N. Zedek,</w:t>
      </w:r>
    </w:p>
    <w:p w:rsidR="0080201D" w:rsidRDefault="0080201D" w:rsidP="002C6676">
      <w:pPr>
        <w:spacing w:line="360" w:lineRule="atLeast"/>
        <w:ind w:left="993" w:hanging="426"/>
        <w:rPr>
          <w:iCs/>
          <w:lang w:val="en-GB"/>
        </w:rPr>
      </w:pPr>
      <w:r>
        <w:rPr>
          <w:iCs/>
          <w:lang w:val="en-GB"/>
        </w:rPr>
        <w:tab/>
        <w:t xml:space="preserve">- </w:t>
      </w:r>
      <w:r>
        <w:rPr>
          <w:lang w:val="en-US"/>
        </w:rPr>
        <w:t>Finest Autumn workshop "Competing for survival in the banking industry", 19-20 November 2012, Rome.</w:t>
      </w:r>
    </w:p>
    <w:p w:rsidR="00B0623D" w:rsidRPr="00EA5C49" w:rsidRDefault="00B0623D" w:rsidP="002C6676">
      <w:pPr>
        <w:spacing w:line="360" w:lineRule="atLeast"/>
        <w:ind w:left="993" w:hanging="426"/>
        <w:rPr>
          <w:bCs/>
          <w:iCs/>
          <w:lang w:val="en-US"/>
        </w:rPr>
      </w:pPr>
      <w:r>
        <w:rPr>
          <w:iCs/>
          <w:lang w:val="en-GB"/>
        </w:rPr>
        <w:tab/>
        <w:t xml:space="preserve">- </w:t>
      </w:r>
      <w:r>
        <w:rPr>
          <w:bCs/>
          <w:iCs/>
          <w:lang w:val="en-US"/>
        </w:rPr>
        <w:t>2012 NTU International Conference on Finance, December 6-7, Taipei.</w:t>
      </w:r>
    </w:p>
    <w:p w:rsidR="00890528" w:rsidRPr="00EA5C49" w:rsidRDefault="00890528" w:rsidP="002C6676">
      <w:pPr>
        <w:spacing w:line="360" w:lineRule="atLeast"/>
        <w:ind w:left="993" w:hanging="426"/>
        <w:rPr>
          <w:lang w:val="en-US"/>
        </w:rPr>
      </w:pPr>
      <w:r>
        <w:rPr>
          <w:bCs/>
          <w:iCs/>
          <w:lang w:val="en-US"/>
        </w:rPr>
        <w:tab/>
        <w:t xml:space="preserve">- </w:t>
      </w:r>
      <w:r>
        <w:rPr>
          <w:bCs/>
          <w:lang w:val="en-US"/>
        </w:rPr>
        <w:t>25</w:t>
      </w:r>
      <w:r>
        <w:rPr>
          <w:bCs/>
          <w:vertAlign w:val="superscript"/>
          <w:lang w:val="en-US"/>
        </w:rPr>
        <w:t>th</w:t>
      </w:r>
      <w:r>
        <w:rPr>
          <w:bCs/>
          <w:lang w:val="en-US"/>
        </w:rPr>
        <w:t xml:space="preserve"> </w:t>
      </w:r>
      <w:r>
        <w:rPr>
          <w:lang w:val="en-US"/>
        </w:rPr>
        <w:t>Australasian Finance &amp; Banking Conference, 16-18 December 2012, Sydney.</w:t>
      </w:r>
    </w:p>
    <w:p w:rsidR="00405711" w:rsidRPr="00EA5C49" w:rsidRDefault="00405711" w:rsidP="002C6676">
      <w:pPr>
        <w:spacing w:line="360" w:lineRule="atLeast"/>
        <w:ind w:left="993" w:hanging="426"/>
        <w:rPr>
          <w:lang w:val="en-US"/>
        </w:rPr>
      </w:pPr>
      <w:r>
        <w:rPr>
          <w:lang w:val="en-US"/>
        </w:rPr>
        <w:tab/>
        <w:t>- 3</w:t>
      </w:r>
      <w:r>
        <w:rPr>
          <w:vertAlign w:val="superscript"/>
          <w:lang w:val="en-US"/>
        </w:rPr>
        <w:t>rd</w:t>
      </w:r>
      <w:r>
        <w:rPr>
          <w:lang w:val="en-US"/>
        </w:rPr>
        <w:t> Asia-Pacific Business Research Conference, 25-26 February 2013, Kuala Lumpur.</w:t>
      </w:r>
    </w:p>
    <w:p w:rsidR="00DA15F4" w:rsidRDefault="00DA15F4" w:rsidP="002C6676">
      <w:pPr>
        <w:spacing w:line="360" w:lineRule="atLeast"/>
        <w:ind w:left="993" w:hanging="426"/>
        <w:rPr>
          <w:lang w:val="en-GB"/>
        </w:rPr>
      </w:pPr>
      <w:r>
        <w:rPr>
          <w:lang w:val="en-US"/>
        </w:rPr>
        <w:tab/>
        <w:t xml:space="preserve">-2013 </w:t>
      </w:r>
      <w:r>
        <w:rPr>
          <w:lang w:val="en-GB"/>
        </w:rPr>
        <w:t>Midwest Finance Association Meeting, 13-16 March 2013, Chicago.</w:t>
      </w:r>
    </w:p>
    <w:p w:rsidR="004C16BA" w:rsidRDefault="00DA15F4" w:rsidP="004C16BA">
      <w:pPr>
        <w:spacing w:line="360" w:lineRule="atLeast"/>
        <w:ind w:left="993" w:hanging="426"/>
        <w:rPr>
          <w:lang w:val="en-GB"/>
        </w:rPr>
      </w:pPr>
      <w:r>
        <w:rPr>
          <w:lang w:val="en-GB"/>
        </w:rPr>
        <w:tab/>
        <w:t xml:space="preserve">- </w:t>
      </w:r>
      <w:r>
        <w:rPr>
          <w:bCs/>
          <w:lang w:val="en-GB"/>
        </w:rPr>
        <w:t>Western Economic Association</w:t>
      </w:r>
      <w:r>
        <w:rPr>
          <w:lang w:val="en-GB"/>
        </w:rPr>
        <w:t>, 10th Biennial Pacific Rim conference, 14-16 March 2013, Tokyo.</w:t>
      </w:r>
    </w:p>
    <w:p w:rsidR="005672E6" w:rsidRPr="00EA5C49" w:rsidRDefault="005672E6" w:rsidP="004C16BA">
      <w:pPr>
        <w:spacing w:line="360" w:lineRule="atLeast"/>
        <w:ind w:left="993" w:hanging="426"/>
        <w:rPr>
          <w:lang w:val="en-US" w:eastAsia="ar-SA"/>
        </w:rPr>
      </w:pPr>
      <w:r>
        <w:rPr>
          <w:lang w:val="en-GB"/>
        </w:rPr>
        <w:t xml:space="preserve">• </w:t>
      </w:r>
      <w:r>
        <w:rPr>
          <w:iCs/>
          <w:lang w:val="en-GB"/>
        </w:rPr>
        <w:t>"</w:t>
      </w:r>
      <w:r>
        <w:rPr>
          <w:lang w:val="en-US" w:eastAsia="ar-SA"/>
        </w:rPr>
        <w:t xml:space="preserve"> </w:t>
      </w:r>
      <w:r>
        <w:rPr>
          <w:i/>
          <w:lang w:val="en-US" w:eastAsia="ar-SA"/>
        </w:rPr>
        <w:t>Loan Loss Provisions and Lending Behavior of Banks : Asian Evidence</w:t>
      </w:r>
      <w:r>
        <w:rPr>
          <w:lang w:val="en-US" w:eastAsia="ar-SA"/>
        </w:rPr>
        <w:t>", with A. Agusman, D. Gasbarro, G. Monroe and W. Soedarmono,</w:t>
      </w:r>
    </w:p>
    <w:p w:rsidR="005672E6" w:rsidRPr="00EA5C49" w:rsidRDefault="005672E6" w:rsidP="004C16BA">
      <w:pPr>
        <w:spacing w:line="360" w:lineRule="atLeast"/>
        <w:ind w:left="993" w:hanging="426"/>
        <w:rPr>
          <w:lang w:val="en-US" w:eastAsia="ar-SA"/>
        </w:rPr>
      </w:pPr>
      <w:r>
        <w:rPr>
          <w:lang w:val="en-US" w:eastAsia="ar-SA"/>
        </w:rPr>
        <w:tab/>
        <w:t>- Annual Conference of Financial System Stability, Bank Indonesia, 22 November 2012, Surabaya.</w:t>
      </w:r>
    </w:p>
    <w:p w:rsidR="005672E6" w:rsidRPr="00EA5C49" w:rsidRDefault="005672E6" w:rsidP="004C16BA">
      <w:pPr>
        <w:spacing w:line="360" w:lineRule="atLeast"/>
        <w:ind w:left="993" w:hanging="426"/>
        <w:rPr>
          <w:lang w:val="en-US"/>
        </w:rPr>
      </w:pPr>
      <w:r>
        <w:rPr>
          <w:lang w:val="en-US" w:eastAsia="ar-SA"/>
        </w:rPr>
        <w:tab/>
        <w:t xml:space="preserve">- </w:t>
      </w:r>
      <w:r>
        <w:rPr>
          <w:lang w:val="en-US"/>
        </w:rPr>
        <w:t xml:space="preserve">2013 AFAANZ Conference, 7-9 July 2013, Perth. </w:t>
      </w:r>
    </w:p>
    <w:p w:rsidR="004735B0" w:rsidRPr="00F27502" w:rsidRDefault="004735B0" w:rsidP="004C16BA">
      <w:pPr>
        <w:spacing w:line="360" w:lineRule="atLeast"/>
        <w:ind w:left="993" w:hanging="426"/>
        <w:rPr>
          <w:lang w:val="en-GB"/>
        </w:rPr>
      </w:pPr>
      <w:r>
        <w:rPr>
          <w:lang w:val="en-US"/>
        </w:rPr>
        <w:lastRenderedPageBreak/>
        <w:tab/>
      </w:r>
      <w:r>
        <w:rPr>
          <w:bCs/>
          <w:iCs/>
          <w:lang w:val="en-US"/>
        </w:rPr>
        <w:t xml:space="preserve">- </w:t>
      </w:r>
      <w:r>
        <w:rPr>
          <w:lang w:val="en-US"/>
        </w:rPr>
        <w:t>8th conference on Risk, Banking and Financial Stability, Journal of Financial Stability, 24-27 September 2013, Bali.</w:t>
      </w:r>
    </w:p>
    <w:p w:rsidR="00C637F6" w:rsidRPr="00EA5C49" w:rsidRDefault="00632FE1" w:rsidP="002C6676">
      <w:pPr>
        <w:spacing w:line="360" w:lineRule="atLeast"/>
        <w:ind w:left="993" w:hanging="426"/>
        <w:rPr>
          <w:iCs/>
          <w:lang w:val="en-US"/>
        </w:rPr>
      </w:pPr>
      <w:r>
        <w:rPr>
          <w:lang w:val="en-GB"/>
        </w:rPr>
        <w:t xml:space="preserve">• </w:t>
      </w:r>
      <w:r>
        <w:rPr>
          <w:i/>
          <w:iCs/>
          <w:lang w:val="en-GB"/>
        </w:rPr>
        <w:t>"</w:t>
      </w:r>
      <w:r>
        <w:rPr>
          <w:sz w:val="26"/>
          <w:szCs w:val="26"/>
          <w:lang w:val="en-US" w:eastAsia="ar-SA"/>
        </w:rPr>
        <w:t xml:space="preserve"> </w:t>
      </w:r>
      <w:r>
        <w:rPr>
          <w:i/>
          <w:iCs/>
          <w:lang w:val="en-US"/>
        </w:rPr>
        <w:t>Bank charter value and market discipline"</w:t>
      </w:r>
      <w:r>
        <w:rPr>
          <w:iCs/>
          <w:lang w:val="en-US"/>
        </w:rPr>
        <w:t xml:space="preserve">, with A.R. Fonseca and M. Haq, </w:t>
      </w:r>
    </w:p>
    <w:p w:rsidR="00632FE1" w:rsidRPr="00EA5C49" w:rsidRDefault="00C637F6" w:rsidP="002C6676">
      <w:pPr>
        <w:spacing w:line="360" w:lineRule="atLeast"/>
        <w:ind w:left="993" w:hanging="426"/>
        <w:rPr>
          <w:lang w:val="en-US"/>
        </w:rPr>
      </w:pPr>
      <w:r>
        <w:rPr>
          <w:iCs/>
          <w:lang w:val="en-US"/>
        </w:rPr>
        <w:tab/>
        <w:t xml:space="preserve">- </w:t>
      </w:r>
      <w:r>
        <w:rPr>
          <w:lang w:val="en-US"/>
        </w:rPr>
        <w:t>4</w:t>
      </w:r>
      <w:r>
        <w:rPr>
          <w:vertAlign w:val="superscript"/>
          <w:lang w:val="en-US"/>
        </w:rPr>
        <w:t>th</w:t>
      </w:r>
      <w:r>
        <w:rPr>
          <w:lang w:val="en-US"/>
        </w:rPr>
        <w:t xml:space="preserve"> Conference on Financial Markets and Corporate Governance, 4-5 April 2013, Wellington.</w:t>
      </w:r>
    </w:p>
    <w:p w:rsidR="00C637F6" w:rsidRPr="00EA5C49" w:rsidRDefault="00C637F6" w:rsidP="00C637F6">
      <w:pPr>
        <w:spacing w:line="360" w:lineRule="atLeast"/>
        <w:ind w:left="993" w:hanging="426"/>
        <w:rPr>
          <w:lang w:val="en-US"/>
        </w:rPr>
      </w:pPr>
      <w:r>
        <w:rPr>
          <w:lang w:val="en-US"/>
        </w:rPr>
        <w:tab/>
        <w:t xml:space="preserve">- Conference on Banking, Finance, Money and Institutions: The Post Crisis Era, 2-3 November 2013, Surrey. </w:t>
      </w:r>
    </w:p>
    <w:p w:rsidR="00F27502" w:rsidRDefault="00F27502" w:rsidP="00F27502">
      <w:pPr>
        <w:spacing w:line="360" w:lineRule="atLeast"/>
        <w:ind w:left="993" w:hanging="426"/>
        <w:rPr>
          <w:iCs/>
          <w:lang w:val="en-GB"/>
        </w:rPr>
      </w:pPr>
      <w:r>
        <w:rPr>
          <w:lang w:val="en-GB"/>
        </w:rPr>
        <w:t xml:space="preserve">• </w:t>
      </w:r>
      <w:r>
        <w:rPr>
          <w:i/>
          <w:iCs/>
          <w:lang w:val="en-GB"/>
        </w:rPr>
        <w:t>"</w:t>
      </w:r>
      <w:r>
        <w:rPr>
          <w:i/>
          <w:lang w:val="en-US" w:eastAsia="ar-SA"/>
        </w:rPr>
        <w:t xml:space="preserve"> Excess Control Rights and Bank Recapitalization: Evidence from Regulatory Capital Adjustment",</w:t>
      </w:r>
      <w:r>
        <w:rPr>
          <w:iCs/>
          <w:lang w:val="en-GB"/>
        </w:rPr>
        <w:t xml:space="preserve"> with L. Lepetit and N. Zedek,</w:t>
      </w:r>
    </w:p>
    <w:p w:rsidR="00FE0FDB" w:rsidRDefault="00FE0FDB" w:rsidP="00F27502">
      <w:pPr>
        <w:spacing w:line="360" w:lineRule="atLeast"/>
        <w:ind w:left="993" w:hanging="426"/>
        <w:rPr>
          <w:bCs/>
          <w:iCs/>
        </w:rPr>
      </w:pPr>
      <w:r>
        <w:rPr>
          <w:iCs/>
          <w:lang w:val="en-GB"/>
        </w:rPr>
        <w:tab/>
      </w:r>
      <w:r>
        <w:rPr>
          <w:bCs/>
          <w:iCs/>
        </w:rPr>
        <w:t>- Journées de Microéconomie Appliquée (JMA), 6-7 Juin 2013, Nice.</w:t>
      </w:r>
    </w:p>
    <w:p w:rsidR="00FE0FDB" w:rsidRPr="00EA5C49" w:rsidRDefault="00FE0FDB" w:rsidP="00F27502">
      <w:pPr>
        <w:spacing w:line="360" w:lineRule="atLeast"/>
        <w:ind w:left="993" w:hanging="426"/>
        <w:rPr>
          <w:iCs/>
          <w:lang w:val="en-US"/>
        </w:rPr>
      </w:pPr>
      <w:r>
        <w:rPr>
          <w:bCs/>
          <w:iCs/>
        </w:rPr>
        <w:tab/>
      </w:r>
      <w:r>
        <w:rPr>
          <w:bCs/>
          <w:iCs/>
          <w:lang w:val="en-US"/>
        </w:rPr>
        <w:t>-3</w:t>
      </w:r>
      <w:r>
        <w:rPr>
          <w:bCs/>
          <w:iCs/>
          <w:vertAlign w:val="superscript"/>
          <w:lang w:val="en-US"/>
        </w:rPr>
        <w:t>rd</w:t>
      </w:r>
      <w:r>
        <w:rPr>
          <w:bCs/>
          <w:iCs/>
          <w:lang w:val="en-US"/>
        </w:rPr>
        <w:t xml:space="preserve"> International Conference of the Financial Engineering and Banking Society (FEBS), 6-8 June, 2013, Paris.</w:t>
      </w:r>
    </w:p>
    <w:p w:rsidR="00F27502" w:rsidRDefault="00F27502" w:rsidP="00F27502">
      <w:pPr>
        <w:spacing w:line="360" w:lineRule="atLeast"/>
        <w:ind w:left="993" w:hanging="426"/>
      </w:pPr>
      <w:r>
        <w:rPr>
          <w:iCs/>
          <w:lang w:val="en-US"/>
        </w:rPr>
        <w:tab/>
      </w:r>
      <w:r>
        <w:rPr>
          <w:iCs/>
        </w:rPr>
        <w:t xml:space="preserve">- 2013 </w:t>
      </w:r>
      <w:r>
        <w:t>FMA European Conference,  12-14 June 2013, Luxembourg.</w:t>
      </w:r>
    </w:p>
    <w:p w:rsidR="00FE0FDB" w:rsidRPr="00EA5C49" w:rsidRDefault="00FE0FDB" w:rsidP="00F27502">
      <w:pPr>
        <w:spacing w:line="360" w:lineRule="atLeast"/>
        <w:ind w:left="993" w:hanging="426"/>
        <w:rPr>
          <w:lang w:val="en-US"/>
        </w:rPr>
      </w:pPr>
      <w:r>
        <w:tab/>
      </w:r>
      <w:r>
        <w:rPr>
          <w:lang w:val="en-US"/>
        </w:rPr>
        <w:t>-</w:t>
      </w:r>
      <w:r>
        <w:rPr>
          <w:bCs/>
          <w:lang w:val="en-US"/>
        </w:rPr>
        <w:t>62</w:t>
      </w:r>
      <w:r>
        <w:rPr>
          <w:bCs/>
          <w:vertAlign w:val="superscript"/>
          <w:lang w:val="en-US"/>
        </w:rPr>
        <w:t>th</w:t>
      </w:r>
      <w:r>
        <w:rPr>
          <w:bCs/>
          <w:lang w:val="en-US"/>
        </w:rPr>
        <w:t xml:space="preserve"> congress of the French Economics Association (AFSE), 24-26 June 2013, Aix en Provence.</w:t>
      </w:r>
    </w:p>
    <w:p w:rsidR="00F27502" w:rsidRDefault="00F27502" w:rsidP="00F27502">
      <w:pPr>
        <w:spacing w:line="360" w:lineRule="atLeast"/>
        <w:ind w:left="993" w:hanging="426"/>
        <w:rPr>
          <w:bCs/>
          <w:lang w:val="en-GB"/>
        </w:rPr>
      </w:pPr>
      <w:r>
        <w:rPr>
          <w:lang w:val="en-US"/>
        </w:rPr>
        <w:tab/>
        <w:t xml:space="preserve">- </w:t>
      </w:r>
      <w:r>
        <w:rPr>
          <w:bCs/>
          <w:lang w:val="en-GB"/>
        </w:rPr>
        <w:t>Western Economic Association, 88</w:t>
      </w:r>
      <w:r>
        <w:rPr>
          <w:bCs/>
          <w:vertAlign w:val="superscript"/>
          <w:lang w:val="en-GB"/>
        </w:rPr>
        <w:t>th</w:t>
      </w:r>
      <w:r>
        <w:rPr>
          <w:bCs/>
          <w:lang w:val="en-GB"/>
        </w:rPr>
        <w:t xml:space="preserve"> annual meeting, and IBEFA,  29-30 June 2013, </w:t>
      </w:r>
    </w:p>
    <w:p w:rsidR="00F27502" w:rsidRPr="00EA5C49" w:rsidRDefault="00F27502" w:rsidP="00F27502">
      <w:pPr>
        <w:spacing w:line="360" w:lineRule="atLeast"/>
        <w:ind w:left="993" w:hanging="426"/>
        <w:rPr>
          <w:bCs/>
          <w:lang w:val="en-US"/>
        </w:rPr>
      </w:pPr>
      <w:r>
        <w:rPr>
          <w:bCs/>
          <w:lang w:val="en-GB"/>
        </w:rPr>
        <w:tab/>
      </w:r>
      <w:r>
        <w:rPr>
          <w:bCs/>
          <w:lang w:val="en-US"/>
        </w:rPr>
        <w:t>Seattle.</w:t>
      </w:r>
    </w:p>
    <w:p w:rsidR="004735B0" w:rsidRPr="00EA5C49" w:rsidRDefault="004735B0" w:rsidP="00F27502">
      <w:pPr>
        <w:spacing w:line="360" w:lineRule="atLeast"/>
        <w:ind w:left="993" w:hanging="426"/>
        <w:rPr>
          <w:bCs/>
          <w:lang w:val="en-US"/>
        </w:rPr>
      </w:pPr>
      <w:r>
        <w:rPr>
          <w:bCs/>
          <w:lang w:val="en-US"/>
        </w:rPr>
        <w:tab/>
        <w:t>-8th conference on Risk, Banking and Financial Stability, Journal of Financial Stability, 24-27 September 2013, Bali.</w:t>
      </w:r>
    </w:p>
    <w:p w:rsidR="00FE0FDB" w:rsidRPr="00EA5C49" w:rsidRDefault="008B5D09" w:rsidP="00F27502">
      <w:pPr>
        <w:spacing w:line="360" w:lineRule="atLeast"/>
        <w:ind w:left="993" w:hanging="426"/>
        <w:rPr>
          <w:bCs/>
          <w:lang w:val="en-US"/>
        </w:rPr>
      </w:pPr>
      <w:r>
        <w:rPr>
          <w:bCs/>
          <w:lang w:val="en-US"/>
        </w:rPr>
        <w:tab/>
        <w:t xml:space="preserve">- </w:t>
      </w:r>
      <w:r>
        <w:rPr>
          <w:lang w:val="en-US"/>
        </w:rPr>
        <w:t>2013 FMA Annual Meeting, 16-19 October 2013, Chicago.</w:t>
      </w:r>
      <w:r>
        <w:rPr>
          <w:bCs/>
          <w:lang w:val="en-US"/>
        </w:rPr>
        <w:tab/>
      </w:r>
    </w:p>
    <w:p w:rsidR="00F27502" w:rsidRPr="00EA5C49" w:rsidRDefault="00F27502" w:rsidP="00F27502">
      <w:pPr>
        <w:spacing w:line="360" w:lineRule="atLeast"/>
        <w:ind w:left="993" w:hanging="426"/>
        <w:rPr>
          <w:bCs/>
          <w:lang w:val="en-US"/>
        </w:rPr>
      </w:pPr>
      <w:r>
        <w:rPr>
          <w:iCs/>
          <w:lang w:val="en-GB"/>
        </w:rPr>
        <w:t>•</w:t>
      </w:r>
      <w:r>
        <w:rPr>
          <w:bCs/>
          <w:i/>
          <w:iCs/>
          <w:lang w:val="en-US"/>
        </w:rPr>
        <w:t>“</w:t>
      </w:r>
      <w:r>
        <w:rPr>
          <w:iCs/>
          <w:lang w:val="en-US"/>
        </w:rPr>
        <w:t xml:space="preserve"> </w:t>
      </w:r>
      <w:r>
        <w:rPr>
          <w:bCs/>
          <w:i/>
          <w:iCs/>
          <w:lang w:val="en-US"/>
        </w:rPr>
        <w:t>Bank Analysts and Bank rating Agencies : who knows what when?"</w:t>
      </w:r>
      <w:r>
        <w:rPr>
          <w:bCs/>
          <w:iCs/>
          <w:lang w:val="en-US"/>
        </w:rPr>
        <w:t xml:space="preserve">, with C.J. Lu, I. Distinguin and Y. Chang, </w:t>
      </w:r>
      <w:r>
        <w:rPr>
          <w:bCs/>
          <w:lang w:val="en-US"/>
        </w:rPr>
        <w:t>30th GdRE Annual International Symposium on Money, Banking and Finance</w:t>
      </w:r>
      <w:r>
        <w:rPr>
          <w:b/>
          <w:bCs/>
          <w:lang w:val="en-US"/>
        </w:rPr>
        <w:t xml:space="preserve">, </w:t>
      </w:r>
      <w:r>
        <w:rPr>
          <w:bCs/>
          <w:lang w:val="en-US"/>
        </w:rPr>
        <w:t>27-28</w:t>
      </w:r>
      <w:r>
        <w:rPr>
          <w:b/>
          <w:bCs/>
          <w:lang w:val="en-US"/>
        </w:rPr>
        <w:t xml:space="preserve"> </w:t>
      </w:r>
      <w:r>
        <w:rPr>
          <w:bCs/>
          <w:lang w:val="en-US"/>
        </w:rPr>
        <w:t>June 2013, Poitiers.</w:t>
      </w:r>
    </w:p>
    <w:p w:rsidR="00D32E70" w:rsidRPr="00EA5C49" w:rsidRDefault="00D32E70" w:rsidP="00F27502">
      <w:pPr>
        <w:spacing w:line="360" w:lineRule="atLeast"/>
        <w:ind w:left="993" w:hanging="426"/>
        <w:rPr>
          <w:bCs/>
          <w:iCs/>
          <w:lang w:val="en-US"/>
        </w:rPr>
      </w:pPr>
      <w:r>
        <w:rPr>
          <w:iCs/>
          <w:lang w:val="en-GB"/>
        </w:rPr>
        <w:t>•</w:t>
      </w:r>
      <w:r>
        <w:rPr>
          <w:bCs/>
          <w:i/>
          <w:iCs/>
          <w:lang w:val="en-US"/>
        </w:rPr>
        <w:t>“</w:t>
      </w:r>
      <w:r>
        <w:rPr>
          <w:iCs/>
          <w:lang w:val="en-US"/>
        </w:rPr>
        <w:t xml:space="preserve"> </w:t>
      </w:r>
      <w:r>
        <w:rPr>
          <w:bCs/>
          <w:i/>
          <w:iCs/>
          <w:lang w:val="en-US"/>
        </w:rPr>
        <w:t>The Benefits of Intrastate and Interstate Geographic Diversification in Banking"</w:t>
      </w:r>
      <w:r>
        <w:rPr>
          <w:bCs/>
          <w:iCs/>
          <w:lang w:val="en-US"/>
        </w:rPr>
        <w:t xml:space="preserve"> with C. Meslier and K. Samolyk, </w:t>
      </w:r>
    </w:p>
    <w:p w:rsidR="00D32E70" w:rsidRPr="00EA5C49" w:rsidRDefault="00D32E70" w:rsidP="00F27502">
      <w:pPr>
        <w:spacing w:line="360" w:lineRule="atLeast"/>
        <w:ind w:left="993" w:hanging="426"/>
        <w:rPr>
          <w:lang w:val="en-US"/>
        </w:rPr>
      </w:pPr>
      <w:r>
        <w:rPr>
          <w:bCs/>
          <w:iCs/>
          <w:lang w:val="en-US"/>
        </w:rPr>
        <w:tab/>
        <w:t xml:space="preserve">- </w:t>
      </w:r>
      <w:r>
        <w:rPr>
          <w:lang w:val="en-US"/>
        </w:rPr>
        <w:t>8th conference on Risk, Banking and Financial Stability, Journal of Financial Stability, 24-27 September 2013, Bali.</w:t>
      </w:r>
    </w:p>
    <w:p w:rsidR="00CC1B40" w:rsidRPr="00EA5C49" w:rsidRDefault="00271E8B" w:rsidP="00271E8B">
      <w:pPr>
        <w:tabs>
          <w:tab w:val="left" w:pos="1701"/>
          <w:tab w:val="left" w:pos="1927"/>
        </w:tabs>
        <w:spacing w:line="360" w:lineRule="atLeast"/>
        <w:ind w:left="840" w:hanging="220"/>
        <w:rPr>
          <w:iCs/>
          <w:lang w:val="en-US"/>
        </w:rPr>
      </w:pPr>
      <w:r>
        <w:rPr>
          <w:i/>
          <w:iCs/>
          <w:lang w:val="en-GB"/>
        </w:rPr>
        <w:t>• "</w:t>
      </w:r>
      <w:r>
        <w:rPr>
          <w:i/>
          <w:iCs/>
          <w:lang w:val="en-US"/>
        </w:rPr>
        <w:t xml:space="preserve"> Excess Control Rights, Financial Crisis and Bank Profitability and Risk"</w:t>
      </w:r>
      <w:r>
        <w:rPr>
          <w:iCs/>
          <w:lang w:val="en-US"/>
        </w:rPr>
        <w:t>, with N. Zedek,</w:t>
      </w:r>
    </w:p>
    <w:p w:rsidR="00FD3DEE" w:rsidRPr="00EA5C49" w:rsidRDefault="00CC1B40" w:rsidP="00271E8B">
      <w:pPr>
        <w:tabs>
          <w:tab w:val="left" w:pos="1701"/>
          <w:tab w:val="left" w:pos="1927"/>
        </w:tabs>
        <w:spacing w:line="360" w:lineRule="atLeast"/>
        <w:ind w:left="840" w:hanging="220"/>
        <w:rPr>
          <w:iCs/>
          <w:lang w:val="en-US"/>
        </w:rPr>
      </w:pPr>
      <w:r>
        <w:rPr>
          <w:iCs/>
          <w:lang w:val="en-US"/>
        </w:rPr>
        <w:tab/>
        <w:t xml:space="preserve">- </w:t>
      </w:r>
      <w:r>
        <w:rPr>
          <w:bCs/>
          <w:lang w:val="en-US"/>
        </w:rPr>
        <w:t>26</w:t>
      </w:r>
      <w:r>
        <w:rPr>
          <w:bCs/>
          <w:vertAlign w:val="superscript"/>
          <w:lang w:val="en-US"/>
        </w:rPr>
        <w:t>th</w:t>
      </w:r>
      <w:r>
        <w:rPr>
          <w:bCs/>
          <w:lang w:val="en-US"/>
        </w:rPr>
        <w:t xml:space="preserve"> </w:t>
      </w:r>
      <w:r>
        <w:rPr>
          <w:lang w:val="en-US"/>
        </w:rPr>
        <w:t>Australasian Finance &amp; Banking Conference, 17-19 December 2013, Sydney</w:t>
      </w:r>
      <w:r>
        <w:rPr>
          <w:iCs/>
          <w:lang w:val="en-US"/>
        </w:rPr>
        <w:t>.</w:t>
      </w:r>
    </w:p>
    <w:p w:rsidR="001045CD" w:rsidRPr="00EA5C49" w:rsidRDefault="001045CD" w:rsidP="001045CD">
      <w:pPr>
        <w:tabs>
          <w:tab w:val="left" w:pos="1701"/>
          <w:tab w:val="left" w:pos="1927"/>
        </w:tabs>
        <w:spacing w:line="360" w:lineRule="atLeast"/>
        <w:ind w:left="840" w:hanging="220"/>
        <w:rPr>
          <w:iCs/>
          <w:lang w:val="en-US"/>
        </w:rPr>
      </w:pPr>
      <w:r>
        <w:rPr>
          <w:iCs/>
          <w:lang w:val="en-US"/>
        </w:rPr>
        <w:tab/>
        <w:t xml:space="preserve">- 25th EBRC, 14-15 January 2014, Cape Town.  </w:t>
      </w:r>
    </w:p>
    <w:p w:rsidR="001045CD" w:rsidRPr="00EA5C49" w:rsidRDefault="001045CD" w:rsidP="001045CD">
      <w:pPr>
        <w:tabs>
          <w:tab w:val="left" w:pos="1701"/>
          <w:tab w:val="left" w:pos="1927"/>
        </w:tabs>
        <w:spacing w:line="360" w:lineRule="atLeast"/>
        <w:ind w:left="840" w:hanging="220"/>
        <w:rPr>
          <w:iCs/>
          <w:lang w:val="en-US"/>
        </w:rPr>
      </w:pPr>
      <w:r>
        <w:rPr>
          <w:iCs/>
          <w:lang w:val="en-US"/>
        </w:rPr>
        <w:tab/>
        <w:t xml:space="preserve">- </w:t>
      </w:r>
      <w:r>
        <w:rPr>
          <w:bCs/>
          <w:lang w:val="en-GB"/>
        </w:rPr>
        <w:t>53</w:t>
      </w:r>
      <w:r>
        <w:rPr>
          <w:bCs/>
          <w:vertAlign w:val="superscript"/>
          <w:lang w:val="en-GB"/>
        </w:rPr>
        <w:t>rd</w:t>
      </w:r>
      <w:r>
        <w:rPr>
          <w:bCs/>
          <w:lang w:val="en-GB"/>
        </w:rPr>
        <w:t xml:space="preserve"> Southwestern Finance Association Annual Meeting, 12-16 March 2014, Dallas. </w:t>
      </w:r>
    </w:p>
    <w:p w:rsidR="001045CD" w:rsidRPr="00EA5C49" w:rsidRDefault="001045CD" w:rsidP="001045CD">
      <w:pPr>
        <w:tabs>
          <w:tab w:val="left" w:pos="1701"/>
          <w:tab w:val="left" w:pos="1927"/>
        </w:tabs>
        <w:spacing w:line="360" w:lineRule="atLeast"/>
        <w:ind w:left="840" w:hanging="220"/>
        <w:rPr>
          <w:iCs/>
          <w:lang w:val="en-US"/>
        </w:rPr>
      </w:pPr>
      <w:r>
        <w:rPr>
          <w:iCs/>
          <w:lang w:val="en-US"/>
        </w:rPr>
        <w:tab/>
      </w:r>
      <w:r>
        <w:rPr>
          <w:bCs/>
          <w:lang w:val="en-GB"/>
        </w:rPr>
        <w:t xml:space="preserve">- 2014 Global Finance Conference, 30 March-2 April 2014, Dubai. </w:t>
      </w:r>
    </w:p>
    <w:p w:rsidR="001045CD" w:rsidRDefault="001045CD" w:rsidP="001045CD">
      <w:pPr>
        <w:tabs>
          <w:tab w:val="left" w:pos="1701"/>
          <w:tab w:val="left" w:pos="1927"/>
        </w:tabs>
        <w:spacing w:line="360" w:lineRule="atLeast"/>
        <w:ind w:left="840" w:hanging="220"/>
        <w:rPr>
          <w:iCs/>
        </w:rPr>
      </w:pPr>
      <w:r>
        <w:rPr>
          <w:iCs/>
          <w:lang w:val="en-US"/>
        </w:rPr>
        <w:tab/>
      </w:r>
      <w:r>
        <w:rPr>
          <w:bCs/>
        </w:rPr>
        <w:t xml:space="preserve">-Journée/Conference "Risque systémique et </w:t>
      </w:r>
      <w:r>
        <w:rPr>
          <w:iCs/>
        </w:rPr>
        <w:t xml:space="preserve">politiques micro/macro prudentielles", Cerefige/Revue Economique, 10 avril/April, Metz. </w:t>
      </w:r>
    </w:p>
    <w:p w:rsidR="001045CD" w:rsidRPr="00EA5C49" w:rsidRDefault="001045CD" w:rsidP="001045CD">
      <w:pPr>
        <w:tabs>
          <w:tab w:val="left" w:pos="1701"/>
          <w:tab w:val="left" w:pos="1927"/>
        </w:tabs>
        <w:spacing w:line="360" w:lineRule="atLeast"/>
        <w:ind w:left="840" w:hanging="220"/>
        <w:rPr>
          <w:iCs/>
          <w:lang w:val="en-US"/>
        </w:rPr>
      </w:pPr>
      <w:r>
        <w:rPr>
          <w:iCs/>
        </w:rPr>
        <w:tab/>
      </w:r>
      <w:r>
        <w:rPr>
          <w:iCs/>
          <w:lang w:val="en-US"/>
        </w:rPr>
        <w:t xml:space="preserve">- 2014 Southern Finance Association (SFA) Annual Meeting, 19-22 November 2014, Key West. </w:t>
      </w:r>
    </w:p>
    <w:p w:rsidR="001045CD" w:rsidRDefault="001045CD" w:rsidP="001045CD">
      <w:pPr>
        <w:tabs>
          <w:tab w:val="left" w:pos="1701"/>
          <w:tab w:val="left" w:pos="1927"/>
        </w:tabs>
        <w:spacing w:line="360" w:lineRule="atLeast"/>
        <w:ind w:left="840" w:hanging="220"/>
        <w:rPr>
          <w:bCs/>
          <w:lang w:val="en-GB"/>
        </w:rPr>
      </w:pPr>
      <w:r>
        <w:rPr>
          <w:iCs/>
          <w:lang w:val="en-US"/>
        </w:rPr>
        <w:tab/>
        <w:t xml:space="preserve">- </w:t>
      </w:r>
      <w:r>
        <w:rPr>
          <w:bCs/>
          <w:lang w:val="en-GB"/>
        </w:rPr>
        <w:t>Western Economic Association/IBEFA, 11</w:t>
      </w:r>
      <w:r>
        <w:rPr>
          <w:bCs/>
          <w:vertAlign w:val="superscript"/>
          <w:lang w:val="en-GB"/>
        </w:rPr>
        <w:t>th</w:t>
      </w:r>
      <w:r>
        <w:rPr>
          <w:bCs/>
          <w:lang w:val="en-GB"/>
        </w:rPr>
        <w:t xml:space="preserve"> International Conference, 8-11 January 2015, Wellington.</w:t>
      </w:r>
    </w:p>
    <w:p w:rsidR="00170E19" w:rsidRDefault="00170E19" w:rsidP="001045CD">
      <w:pPr>
        <w:tabs>
          <w:tab w:val="left" w:pos="1701"/>
          <w:tab w:val="left" w:pos="1927"/>
        </w:tabs>
        <w:spacing w:line="360" w:lineRule="atLeast"/>
        <w:ind w:left="840" w:hanging="220"/>
        <w:rPr>
          <w:iCs/>
          <w:lang w:val="en-GB"/>
        </w:rPr>
      </w:pPr>
      <w:r>
        <w:rPr>
          <w:bCs/>
          <w:i/>
          <w:iCs/>
          <w:lang w:val="en-GB"/>
        </w:rPr>
        <w:lastRenderedPageBreak/>
        <w:t xml:space="preserve">• </w:t>
      </w:r>
      <w:r>
        <w:rPr>
          <w:bCs/>
          <w:iCs/>
          <w:lang w:val="en-US"/>
        </w:rPr>
        <w:t>"</w:t>
      </w:r>
      <w:r>
        <w:rPr>
          <w:bCs/>
          <w:i/>
          <w:iCs/>
          <w:lang w:val="en-US"/>
        </w:rPr>
        <w:t>Errare Humanum Est, Perseverare Autem Diabolicum: A Test of Investors learning from information spillover</w:t>
      </w:r>
      <w:r>
        <w:rPr>
          <w:bCs/>
          <w:iCs/>
          <w:lang w:val="en-US"/>
        </w:rPr>
        <w:t xml:space="preserve">" , with </w:t>
      </w:r>
      <w:r>
        <w:rPr>
          <w:bCs/>
          <w:iCs/>
          <w:lang w:val="it-IT"/>
        </w:rPr>
        <w:t>Franco Fiordelisi and Francesco Saverio Stentella Lopes,</w:t>
      </w:r>
      <w:r>
        <w:rPr>
          <w:iCs/>
          <w:lang w:val="en-US"/>
        </w:rPr>
        <w:t xml:space="preserve"> LAPE-FINEST 2015 Spring Workshop, 9 June 2015, Limoges.</w:t>
      </w:r>
    </w:p>
    <w:p w:rsidR="007F006A" w:rsidRPr="00EA5C49" w:rsidRDefault="001045CD" w:rsidP="001045CD">
      <w:pPr>
        <w:tabs>
          <w:tab w:val="left" w:pos="1701"/>
          <w:tab w:val="left" w:pos="1927"/>
        </w:tabs>
        <w:spacing w:line="360" w:lineRule="atLeast"/>
        <w:ind w:left="840" w:hanging="220"/>
        <w:rPr>
          <w:bCs/>
          <w:lang w:val="en-US"/>
        </w:rPr>
      </w:pPr>
      <w:r>
        <w:rPr>
          <w:bCs/>
          <w:lang w:val="en-GB"/>
        </w:rPr>
        <w:t>•</w:t>
      </w:r>
      <w:r>
        <w:rPr>
          <w:bCs/>
          <w:i/>
          <w:lang w:val="id-ID"/>
        </w:rPr>
        <w:t>“</w:t>
      </w:r>
      <w:r>
        <w:rPr>
          <w:bCs/>
          <w:i/>
          <w:lang w:val="en-US"/>
        </w:rPr>
        <w:t>Non-interest income activities and bank lending",</w:t>
      </w:r>
      <w:r>
        <w:rPr>
          <w:bCs/>
          <w:lang w:val="en-US"/>
        </w:rPr>
        <w:t xml:space="preserve"> with P. Abedifar and Phil. Molyneux,</w:t>
      </w:r>
    </w:p>
    <w:p w:rsidR="007F006A" w:rsidRDefault="007F006A" w:rsidP="001045CD">
      <w:pPr>
        <w:tabs>
          <w:tab w:val="left" w:pos="1701"/>
          <w:tab w:val="left" w:pos="1927"/>
        </w:tabs>
        <w:spacing w:line="360" w:lineRule="atLeast"/>
        <w:ind w:left="840" w:hanging="220"/>
        <w:rPr>
          <w:bCs/>
          <w:lang w:val="en-GB"/>
        </w:rPr>
      </w:pPr>
      <w:r>
        <w:rPr>
          <w:bCs/>
          <w:lang w:val="en-US"/>
        </w:rPr>
        <w:tab/>
        <w:t xml:space="preserve">- </w:t>
      </w:r>
      <w:r>
        <w:rPr>
          <w:bCs/>
          <w:lang w:val="en-GB"/>
        </w:rPr>
        <w:t>FINEST Winter Workshop, 9-10 December 2014, Rome.</w:t>
      </w:r>
    </w:p>
    <w:p w:rsidR="007F006A" w:rsidRDefault="007F006A" w:rsidP="001045CD">
      <w:pPr>
        <w:tabs>
          <w:tab w:val="left" w:pos="1701"/>
          <w:tab w:val="left" w:pos="1927"/>
        </w:tabs>
        <w:spacing w:line="360" w:lineRule="atLeast"/>
        <w:ind w:left="840" w:hanging="220"/>
        <w:rPr>
          <w:bCs/>
          <w:lang w:val="en-GB"/>
        </w:rPr>
      </w:pPr>
      <w:r>
        <w:rPr>
          <w:bCs/>
          <w:lang w:val="en-GB"/>
        </w:rPr>
        <w:tab/>
        <w:t>-</w:t>
      </w:r>
      <w:r>
        <w:rPr>
          <w:bCs/>
          <w:lang w:val="en-US"/>
        </w:rPr>
        <w:t xml:space="preserve"> World Finance Conference, 21-24 July 2015, Buenos Aires,</w:t>
      </w:r>
    </w:p>
    <w:p w:rsidR="00572A13" w:rsidRPr="00EA5C49" w:rsidRDefault="00572A13" w:rsidP="001045CD">
      <w:pPr>
        <w:tabs>
          <w:tab w:val="left" w:pos="1701"/>
          <w:tab w:val="left" w:pos="1927"/>
        </w:tabs>
        <w:spacing w:line="360" w:lineRule="atLeast"/>
        <w:ind w:left="840" w:hanging="220"/>
        <w:rPr>
          <w:iCs/>
          <w:lang w:val="en-US"/>
        </w:rPr>
      </w:pPr>
      <w:r>
        <w:rPr>
          <w:bCs/>
          <w:lang w:val="en-US"/>
        </w:rPr>
        <w:t>•</w:t>
      </w:r>
      <w:r>
        <w:rPr>
          <w:bCs/>
          <w:i/>
          <w:lang w:val="en-US"/>
        </w:rPr>
        <w:t> "Does diversity of bank board members affect performance and risk? Evidence from an emerging market</w:t>
      </w:r>
      <w:r>
        <w:rPr>
          <w:bCs/>
          <w:lang w:val="en-US"/>
        </w:rPr>
        <w:t xml:space="preserve">" with Bowo Setiyono, </w:t>
      </w:r>
      <w:r>
        <w:rPr>
          <w:bCs/>
          <w:iCs/>
          <w:lang w:val="en-US"/>
        </w:rPr>
        <w:t>7</w:t>
      </w:r>
      <w:r>
        <w:rPr>
          <w:bCs/>
          <w:iCs/>
          <w:vertAlign w:val="superscript"/>
          <w:lang w:val="en-US"/>
        </w:rPr>
        <w:t>th</w:t>
      </w:r>
      <w:r>
        <w:rPr>
          <w:bCs/>
          <w:lang w:val="en-US"/>
        </w:rPr>
        <w:t xml:space="preserve"> </w:t>
      </w:r>
      <w:r>
        <w:rPr>
          <w:bCs/>
          <w:lang w:val="en-GB"/>
        </w:rPr>
        <w:t>International Finance And Banking Society (</w:t>
      </w:r>
      <w:r>
        <w:rPr>
          <w:bCs/>
          <w:lang w:val="en-US"/>
        </w:rPr>
        <w:t xml:space="preserve">IFABS) Conference, 27-29 June 2015, Hangzhou. </w:t>
      </w:r>
    </w:p>
    <w:p w:rsidR="001045CD" w:rsidRPr="00EA5C49" w:rsidRDefault="001045CD" w:rsidP="001045CD">
      <w:pPr>
        <w:tabs>
          <w:tab w:val="left" w:pos="1701"/>
          <w:tab w:val="left" w:pos="1927"/>
        </w:tabs>
        <w:spacing w:line="360" w:lineRule="atLeast"/>
        <w:ind w:left="840" w:hanging="220"/>
        <w:rPr>
          <w:iCs/>
          <w:lang w:val="en-US"/>
        </w:rPr>
      </w:pPr>
      <w:r>
        <w:rPr>
          <w:bCs/>
          <w:lang w:val="en-GB"/>
        </w:rPr>
        <w:t>•</w:t>
      </w:r>
      <w:r>
        <w:rPr>
          <w:bCs/>
          <w:i/>
          <w:lang w:val="id-ID"/>
        </w:rPr>
        <w:t xml:space="preserve"> “</w:t>
      </w:r>
      <w:r>
        <w:rPr>
          <w:bCs/>
          <w:i/>
          <w:lang w:val="en-US"/>
        </w:rPr>
        <w:t>Disclosure, Ownership Structure and Bank Risk",</w:t>
      </w:r>
      <w:r>
        <w:rPr>
          <w:bCs/>
          <w:lang w:val="en-US"/>
        </w:rPr>
        <w:t xml:space="preserve"> with B. Setiyono, </w:t>
      </w:r>
    </w:p>
    <w:p w:rsidR="001045CD" w:rsidRPr="00EA5C49" w:rsidRDefault="001045CD" w:rsidP="001045CD">
      <w:pPr>
        <w:tabs>
          <w:tab w:val="left" w:pos="1701"/>
          <w:tab w:val="left" w:pos="1927"/>
        </w:tabs>
        <w:spacing w:line="360" w:lineRule="atLeast"/>
        <w:ind w:left="840" w:hanging="220"/>
        <w:rPr>
          <w:iCs/>
          <w:lang w:val="en-US"/>
        </w:rPr>
      </w:pPr>
      <w:r>
        <w:rPr>
          <w:iCs/>
          <w:lang w:val="en-US"/>
        </w:rPr>
        <w:tab/>
      </w:r>
      <w:r>
        <w:rPr>
          <w:bCs/>
          <w:lang w:val="en-US"/>
        </w:rPr>
        <w:t xml:space="preserve">- </w:t>
      </w:r>
      <w:r>
        <w:rPr>
          <w:bCs/>
          <w:iCs/>
          <w:lang w:val="en-US"/>
        </w:rPr>
        <w:t>6</w:t>
      </w:r>
      <w:r>
        <w:rPr>
          <w:bCs/>
          <w:iCs/>
          <w:vertAlign w:val="superscript"/>
          <w:lang w:val="en-US"/>
        </w:rPr>
        <w:t>th</w:t>
      </w:r>
      <w:r>
        <w:rPr>
          <w:bCs/>
          <w:lang w:val="en-US"/>
        </w:rPr>
        <w:t xml:space="preserve"> </w:t>
      </w:r>
      <w:r>
        <w:rPr>
          <w:bCs/>
          <w:lang w:val="en-GB"/>
        </w:rPr>
        <w:t>International Finance And Banking Society (</w:t>
      </w:r>
      <w:r>
        <w:rPr>
          <w:bCs/>
          <w:lang w:val="en-US"/>
        </w:rPr>
        <w:t>IFABS) Conference, 18-20 June 2014, Lisbon</w:t>
      </w:r>
    </w:p>
    <w:p w:rsidR="001045CD" w:rsidRPr="00EA5C49" w:rsidRDefault="001045CD" w:rsidP="001045CD">
      <w:pPr>
        <w:tabs>
          <w:tab w:val="left" w:pos="1701"/>
          <w:tab w:val="left" w:pos="1927"/>
        </w:tabs>
        <w:spacing w:line="360" w:lineRule="atLeast"/>
        <w:ind w:left="840" w:hanging="220"/>
        <w:rPr>
          <w:iCs/>
          <w:lang w:val="en-US"/>
        </w:rPr>
      </w:pPr>
      <w:r>
        <w:rPr>
          <w:iCs/>
          <w:lang w:val="en-US"/>
        </w:rPr>
        <w:tab/>
      </w:r>
      <w:r>
        <w:rPr>
          <w:bCs/>
          <w:lang w:val="en-US"/>
        </w:rPr>
        <w:t>- 2014 Asian Finance Association (AsianFA) Annual Conference, 24-26 June 2014, Bali.</w:t>
      </w:r>
    </w:p>
    <w:p w:rsidR="001045CD" w:rsidRPr="00EA5C49" w:rsidRDefault="001045CD" w:rsidP="001045CD">
      <w:pPr>
        <w:tabs>
          <w:tab w:val="left" w:pos="1701"/>
          <w:tab w:val="left" w:pos="1927"/>
        </w:tabs>
        <w:spacing w:line="360" w:lineRule="atLeast"/>
        <w:ind w:left="840" w:hanging="220"/>
        <w:rPr>
          <w:bCs/>
          <w:lang w:val="en-US"/>
        </w:rPr>
      </w:pPr>
      <w:r>
        <w:rPr>
          <w:iCs/>
          <w:lang w:val="en-US"/>
        </w:rPr>
        <w:tab/>
      </w:r>
      <w:r>
        <w:rPr>
          <w:bCs/>
          <w:lang w:val="en-US"/>
        </w:rPr>
        <w:t>-</w:t>
      </w:r>
      <w:r>
        <w:rPr>
          <w:bCs/>
          <w:iCs/>
          <w:lang w:val="en-US"/>
        </w:rPr>
        <w:t>27</w:t>
      </w:r>
      <w:r>
        <w:rPr>
          <w:bCs/>
          <w:iCs/>
          <w:vertAlign w:val="superscript"/>
          <w:lang w:val="en-US"/>
        </w:rPr>
        <w:t>th</w:t>
      </w:r>
      <w:r>
        <w:rPr>
          <w:bCs/>
          <w:iCs/>
          <w:lang w:val="en-US"/>
        </w:rPr>
        <w:t xml:space="preserve"> Australasian Finance &amp; Banking Conference, 16-18 December 2014, Sydney.</w:t>
      </w:r>
      <w:r>
        <w:rPr>
          <w:bCs/>
          <w:lang w:val="en-US"/>
        </w:rPr>
        <w:t xml:space="preserve"> </w:t>
      </w:r>
    </w:p>
    <w:p w:rsidR="00517E76" w:rsidRPr="00EA5C49" w:rsidRDefault="00517E76" w:rsidP="001045CD">
      <w:pPr>
        <w:tabs>
          <w:tab w:val="left" w:pos="1701"/>
          <w:tab w:val="left" w:pos="1927"/>
        </w:tabs>
        <w:spacing w:line="360" w:lineRule="atLeast"/>
        <w:ind w:left="840" w:hanging="220"/>
        <w:rPr>
          <w:bCs/>
          <w:iCs/>
          <w:lang w:val="en-US"/>
        </w:rPr>
      </w:pPr>
      <w:r>
        <w:rPr>
          <w:bCs/>
          <w:lang w:val="en-US"/>
        </w:rPr>
        <w:tab/>
        <w:t>-</w:t>
      </w:r>
      <w:r>
        <w:rPr>
          <w:bCs/>
          <w:iCs/>
          <w:lang w:val="en-US"/>
        </w:rPr>
        <w:t xml:space="preserve">8th Asia Pacific Business and Research Conference, 9-10 February 2015, Kuala Lumpur. </w:t>
      </w:r>
    </w:p>
    <w:p w:rsidR="005F7026" w:rsidRPr="00EA5C49" w:rsidRDefault="005F7026" w:rsidP="005F7026">
      <w:pPr>
        <w:tabs>
          <w:tab w:val="left" w:pos="1701"/>
          <w:tab w:val="left" w:pos="1927"/>
        </w:tabs>
        <w:spacing w:line="360" w:lineRule="atLeast"/>
        <w:ind w:left="840" w:hanging="220"/>
        <w:rPr>
          <w:bCs/>
          <w:iCs/>
          <w:lang w:val="en-US"/>
        </w:rPr>
      </w:pPr>
      <w:r>
        <w:rPr>
          <w:bCs/>
          <w:iCs/>
          <w:lang w:val="en-GB"/>
        </w:rPr>
        <w:t xml:space="preserve">• </w:t>
      </w:r>
      <w:r>
        <w:rPr>
          <w:bCs/>
          <w:i/>
          <w:iCs/>
          <w:lang w:val="en-US"/>
        </w:rPr>
        <w:t>"Accounting Regulations, Stock Price Informativeness, and Stock Crash Risk: Evidence from Global Banking Industry"</w:t>
      </w:r>
      <w:r>
        <w:rPr>
          <w:bCs/>
          <w:iCs/>
          <w:lang w:val="en-US"/>
        </w:rPr>
        <w:t xml:space="preserve"> coauthored with Iftekhar Hasan, Dean John and Liang Song,</w:t>
      </w:r>
    </w:p>
    <w:p w:rsidR="005F7026" w:rsidRPr="00EA5C49" w:rsidRDefault="005F7026" w:rsidP="005F7026">
      <w:pPr>
        <w:tabs>
          <w:tab w:val="left" w:pos="1701"/>
          <w:tab w:val="left" w:pos="1927"/>
        </w:tabs>
        <w:spacing w:line="360" w:lineRule="atLeast"/>
        <w:ind w:left="840" w:hanging="220"/>
        <w:rPr>
          <w:bCs/>
          <w:iCs/>
          <w:lang w:val="en-US"/>
        </w:rPr>
      </w:pPr>
      <w:r>
        <w:rPr>
          <w:bCs/>
          <w:iCs/>
          <w:lang w:val="en-US"/>
        </w:rPr>
        <w:tab/>
        <w:t>- University of massachusetts dartmouth, 13 May 2015.</w:t>
      </w:r>
    </w:p>
    <w:p w:rsidR="005F7026" w:rsidRPr="00EA5C49" w:rsidRDefault="005F7026" w:rsidP="005F7026">
      <w:pPr>
        <w:tabs>
          <w:tab w:val="left" w:pos="1701"/>
          <w:tab w:val="left" w:pos="1927"/>
        </w:tabs>
        <w:spacing w:line="360" w:lineRule="atLeast"/>
        <w:ind w:left="840" w:hanging="220"/>
        <w:rPr>
          <w:bCs/>
          <w:iCs/>
          <w:lang w:val="en-US"/>
        </w:rPr>
      </w:pPr>
      <w:r>
        <w:rPr>
          <w:bCs/>
          <w:iCs/>
          <w:lang w:val="en-US"/>
        </w:rPr>
        <w:tab/>
        <w:t>- 2015 American Accounting Association Annual Meeting, 7-12 August 2015, Chicago.</w:t>
      </w:r>
    </w:p>
    <w:p w:rsidR="007F006A" w:rsidRPr="00EA5C49" w:rsidRDefault="007F006A" w:rsidP="007F006A">
      <w:pPr>
        <w:tabs>
          <w:tab w:val="left" w:pos="1701"/>
          <w:tab w:val="left" w:pos="1927"/>
        </w:tabs>
        <w:spacing w:line="360" w:lineRule="atLeast"/>
        <w:ind w:left="840" w:hanging="220"/>
        <w:rPr>
          <w:bCs/>
          <w:lang w:val="en-US"/>
        </w:rPr>
      </w:pPr>
      <w:r>
        <w:rPr>
          <w:bCs/>
          <w:lang w:val="en-GB"/>
        </w:rPr>
        <w:t>•</w:t>
      </w:r>
      <w:r>
        <w:rPr>
          <w:bCs/>
          <w:i/>
          <w:lang w:val="id-ID"/>
        </w:rPr>
        <w:t>“</w:t>
      </w:r>
      <w:r>
        <w:rPr>
          <w:bCs/>
          <w:i/>
          <w:lang w:val="en-US"/>
        </w:rPr>
        <w:t>Non-interest income and bank lending",</w:t>
      </w:r>
      <w:r>
        <w:rPr>
          <w:bCs/>
          <w:lang w:val="en-US"/>
        </w:rPr>
        <w:t xml:space="preserve"> with P. Abedifar and Phil. Molyneux,</w:t>
      </w:r>
    </w:p>
    <w:p w:rsidR="007F006A" w:rsidRPr="00EA5C49" w:rsidRDefault="007F006A" w:rsidP="007F006A">
      <w:pPr>
        <w:tabs>
          <w:tab w:val="left" w:pos="1701"/>
          <w:tab w:val="left" w:pos="1927"/>
        </w:tabs>
        <w:spacing w:line="360" w:lineRule="atLeast"/>
        <w:ind w:left="840" w:hanging="220"/>
        <w:rPr>
          <w:bCs/>
          <w:iCs/>
          <w:lang w:val="en-US"/>
        </w:rPr>
      </w:pPr>
      <w:r>
        <w:rPr>
          <w:bCs/>
          <w:lang w:val="en-US"/>
        </w:rPr>
        <w:tab/>
        <w:t>-</w:t>
      </w:r>
      <w:r>
        <w:rPr>
          <w:bCs/>
          <w:iCs/>
          <w:lang w:val="en-US"/>
        </w:rPr>
        <w:t>28</w:t>
      </w:r>
      <w:r>
        <w:rPr>
          <w:bCs/>
          <w:iCs/>
          <w:vertAlign w:val="superscript"/>
          <w:lang w:val="en-US"/>
        </w:rPr>
        <w:t>th</w:t>
      </w:r>
      <w:r>
        <w:rPr>
          <w:bCs/>
          <w:iCs/>
          <w:lang w:val="en-US"/>
        </w:rPr>
        <w:t xml:space="preserve"> Australasian Finance &amp; Banking Conference, 16-18 December 2015, Sydney.</w:t>
      </w:r>
    </w:p>
    <w:p w:rsidR="007F006A" w:rsidRPr="00EA5C49" w:rsidRDefault="007F006A" w:rsidP="007F006A">
      <w:pPr>
        <w:tabs>
          <w:tab w:val="left" w:pos="1701"/>
          <w:tab w:val="left" w:pos="1927"/>
        </w:tabs>
        <w:spacing w:line="360" w:lineRule="atLeast"/>
        <w:ind w:left="840" w:hanging="220"/>
        <w:rPr>
          <w:bCs/>
          <w:lang w:val="en-US"/>
        </w:rPr>
      </w:pPr>
      <w:r>
        <w:rPr>
          <w:bCs/>
          <w:iCs/>
          <w:lang w:val="en-US"/>
        </w:rPr>
        <w:tab/>
        <w:t xml:space="preserve">- </w:t>
      </w:r>
      <w:r>
        <w:rPr>
          <w:bCs/>
          <w:lang w:val="en-US"/>
        </w:rPr>
        <w:t xml:space="preserve">Western Economic Association International (WEAI) 12th annual conference, 7-10 January 2016, Singapore. </w:t>
      </w:r>
    </w:p>
    <w:p w:rsidR="007F006A" w:rsidRPr="00EA5C49" w:rsidRDefault="007F006A" w:rsidP="001045CD">
      <w:pPr>
        <w:tabs>
          <w:tab w:val="left" w:pos="1701"/>
          <w:tab w:val="left" w:pos="1927"/>
        </w:tabs>
        <w:spacing w:line="360" w:lineRule="atLeast"/>
        <w:ind w:left="840" w:hanging="220"/>
        <w:rPr>
          <w:bCs/>
          <w:lang w:val="en-US"/>
        </w:rPr>
      </w:pPr>
      <w:r>
        <w:rPr>
          <w:bCs/>
          <w:lang w:val="en-US"/>
        </w:rPr>
        <w:tab/>
        <w:t>-15</w:t>
      </w:r>
      <w:r>
        <w:rPr>
          <w:bCs/>
          <w:vertAlign w:val="superscript"/>
          <w:lang w:val="en-US"/>
        </w:rPr>
        <w:t>th</w:t>
      </w:r>
      <w:r>
        <w:rPr>
          <w:bCs/>
          <w:lang w:val="en-US"/>
        </w:rPr>
        <w:t xml:space="preserve"> World Business Research Conference, 25-26 February 2016, Tokyo. </w:t>
      </w:r>
    </w:p>
    <w:p w:rsidR="002E2D2B" w:rsidRPr="00EA5C49" w:rsidRDefault="002E2D2B" w:rsidP="001045CD">
      <w:pPr>
        <w:tabs>
          <w:tab w:val="left" w:pos="1701"/>
          <w:tab w:val="left" w:pos="1927"/>
        </w:tabs>
        <w:spacing w:line="360" w:lineRule="atLeast"/>
        <w:ind w:left="840" w:hanging="220"/>
        <w:rPr>
          <w:bCs/>
          <w:lang w:val="en-US"/>
        </w:rPr>
      </w:pPr>
      <w:r>
        <w:rPr>
          <w:bCs/>
          <w:lang w:val="en-US"/>
        </w:rPr>
        <w:tab/>
      </w:r>
      <w:r>
        <w:rPr>
          <w:bCs/>
          <w:iCs/>
          <w:lang w:val="en-US"/>
        </w:rPr>
        <w:t>- Portsmouth-Fordham Conference on Banking and Finance, 24-25 September 2016, Portsmouth, UK.</w:t>
      </w:r>
    </w:p>
    <w:p w:rsidR="00190892" w:rsidRPr="00EA5C49" w:rsidRDefault="00190892" w:rsidP="00190892">
      <w:pPr>
        <w:tabs>
          <w:tab w:val="left" w:pos="1701"/>
          <w:tab w:val="left" w:pos="1927"/>
        </w:tabs>
        <w:spacing w:line="360" w:lineRule="atLeast"/>
        <w:ind w:left="840" w:hanging="220"/>
        <w:rPr>
          <w:bCs/>
          <w:lang w:val="en-US"/>
        </w:rPr>
      </w:pPr>
      <w:r>
        <w:rPr>
          <w:bCs/>
          <w:iCs/>
          <w:lang w:val="en-GB"/>
        </w:rPr>
        <w:t xml:space="preserve">• </w:t>
      </w:r>
      <w:r>
        <w:rPr>
          <w:bCs/>
          <w:i/>
          <w:lang w:val="en-US"/>
        </w:rPr>
        <w:t>"Financial Development and Growth in a Dual Banking System: Relative Importance of Islamic Banks"</w:t>
      </w:r>
      <w:r>
        <w:rPr>
          <w:bCs/>
          <w:lang w:val="en-US"/>
        </w:rPr>
        <w:t xml:space="preserve">, with P. Abedifar and I. Hasan, </w:t>
      </w:r>
    </w:p>
    <w:p w:rsidR="009730C2" w:rsidRPr="00EA5C49" w:rsidRDefault="009730C2" w:rsidP="00190892">
      <w:pPr>
        <w:tabs>
          <w:tab w:val="left" w:pos="1701"/>
          <w:tab w:val="left" w:pos="1927"/>
        </w:tabs>
        <w:spacing w:line="360" w:lineRule="atLeast"/>
        <w:ind w:left="840" w:hanging="220"/>
        <w:rPr>
          <w:bCs/>
          <w:lang w:val="en-US"/>
        </w:rPr>
      </w:pPr>
      <w:r>
        <w:rPr>
          <w:bCs/>
          <w:lang w:val="en-US"/>
        </w:rPr>
        <w:tab/>
        <w:t>-20</w:t>
      </w:r>
      <w:r>
        <w:rPr>
          <w:bCs/>
          <w:vertAlign w:val="superscript"/>
          <w:lang w:val="en-US"/>
        </w:rPr>
        <w:t xml:space="preserve">th </w:t>
      </w:r>
      <w:r>
        <w:rPr>
          <w:bCs/>
          <w:iCs/>
          <w:lang w:val="en-US"/>
        </w:rPr>
        <w:t>Economic Research Forum (ERF) Annual Conference, March 22-24, 2014, Cairo,</w:t>
      </w:r>
    </w:p>
    <w:p w:rsidR="00190892" w:rsidRPr="00EA5C49" w:rsidRDefault="00190892" w:rsidP="00190892">
      <w:pPr>
        <w:tabs>
          <w:tab w:val="left" w:pos="1701"/>
          <w:tab w:val="left" w:pos="1927"/>
        </w:tabs>
        <w:spacing w:line="360" w:lineRule="atLeast"/>
        <w:ind w:left="840" w:hanging="220"/>
        <w:rPr>
          <w:bCs/>
          <w:lang w:val="en-US"/>
        </w:rPr>
      </w:pPr>
      <w:r>
        <w:rPr>
          <w:bCs/>
          <w:lang w:val="en-US"/>
        </w:rPr>
        <w:tab/>
        <w:t>- 4</w:t>
      </w:r>
      <w:r>
        <w:rPr>
          <w:bCs/>
          <w:vertAlign w:val="superscript"/>
          <w:lang w:val="en-US"/>
        </w:rPr>
        <w:t>th</w:t>
      </w:r>
      <w:r>
        <w:rPr>
          <w:bCs/>
          <w:lang w:val="en-US"/>
        </w:rPr>
        <w:t xml:space="preserve"> IBF Conference, June 2014, Lancaster, U.K.</w:t>
      </w:r>
    </w:p>
    <w:p w:rsidR="00190892" w:rsidRPr="00EA5C49" w:rsidRDefault="00190892" w:rsidP="00190892">
      <w:pPr>
        <w:tabs>
          <w:tab w:val="left" w:pos="1701"/>
          <w:tab w:val="left" w:pos="1927"/>
        </w:tabs>
        <w:spacing w:line="360" w:lineRule="atLeast"/>
        <w:ind w:left="840" w:hanging="220"/>
        <w:rPr>
          <w:bCs/>
          <w:lang w:val="en-US"/>
        </w:rPr>
      </w:pPr>
      <w:r>
        <w:rPr>
          <w:bCs/>
          <w:lang w:val="en-US"/>
        </w:rPr>
        <w:tab/>
        <w:t>- Turkish Central Bank, September 2015,Istanbul.</w:t>
      </w:r>
    </w:p>
    <w:p w:rsidR="00190892" w:rsidRPr="00EA5C49" w:rsidRDefault="00190892" w:rsidP="001045CD">
      <w:pPr>
        <w:tabs>
          <w:tab w:val="left" w:pos="1701"/>
          <w:tab w:val="left" w:pos="1927"/>
        </w:tabs>
        <w:spacing w:line="360" w:lineRule="atLeast"/>
        <w:ind w:left="840" w:hanging="220"/>
        <w:rPr>
          <w:bCs/>
          <w:lang w:val="en-US"/>
        </w:rPr>
      </w:pPr>
      <w:r>
        <w:rPr>
          <w:bCs/>
          <w:lang w:val="en-US"/>
        </w:rPr>
        <w:tab/>
        <w:t>- KFUPM, 14-15 March 2016, Riyadh,</w:t>
      </w:r>
    </w:p>
    <w:p w:rsidR="00B45D5D" w:rsidRPr="00EA5C49" w:rsidRDefault="005E3105" w:rsidP="001045CD">
      <w:pPr>
        <w:tabs>
          <w:tab w:val="left" w:pos="1701"/>
          <w:tab w:val="left" w:pos="1927"/>
        </w:tabs>
        <w:spacing w:line="360" w:lineRule="atLeast"/>
        <w:ind w:left="840" w:hanging="220"/>
        <w:rPr>
          <w:bCs/>
          <w:iCs/>
          <w:lang w:val="en-US"/>
        </w:rPr>
      </w:pPr>
      <w:r>
        <w:rPr>
          <w:bCs/>
          <w:iCs/>
          <w:lang w:val="en-GB"/>
        </w:rPr>
        <w:t xml:space="preserve">• </w:t>
      </w:r>
      <w:r>
        <w:rPr>
          <w:bCs/>
          <w:iCs/>
          <w:lang w:val="en-US"/>
        </w:rPr>
        <w:t>"</w:t>
      </w:r>
      <w:r>
        <w:rPr>
          <w:bCs/>
          <w:i/>
          <w:iCs/>
          <w:lang w:val="en-US"/>
        </w:rPr>
        <w:t>Local Versus International Crises, Foreign Subsidiaries and Bank Stability: Evidence from the MENA Region"</w:t>
      </w:r>
      <w:r>
        <w:rPr>
          <w:bCs/>
          <w:iCs/>
          <w:lang w:val="en-US"/>
        </w:rPr>
        <w:t xml:space="preserve">, with T. AlRaheb, </w:t>
      </w:r>
    </w:p>
    <w:p w:rsidR="00B45D5D" w:rsidRPr="00EA5C49" w:rsidRDefault="00B45D5D" w:rsidP="001045CD">
      <w:pPr>
        <w:tabs>
          <w:tab w:val="left" w:pos="1701"/>
          <w:tab w:val="left" w:pos="1927"/>
        </w:tabs>
        <w:spacing w:line="360" w:lineRule="atLeast"/>
        <w:ind w:left="840" w:hanging="220"/>
        <w:rPr>
          <w:bCs/>
          <w:iCs/>
          <w:lang w:val="en-US"/>
        </w:rPr>
      </w:pPr>
      <w:r>
        <w:rPr>
          <w:bCs/>
          <w:iCs/>
          <w:lang w:val="en-US"/>
        </w:rPr>
        <w:tab/>
        <w:t>- 22</w:t>
      </w:r>
      <w:r>
        <w:rPr>
          <w:bCs/>
          <w:iCs/>
          <w:vertAlign w:val="superscript"/>
          <w:lang w:val="en-US"/>
        </w:rPr>
        <w:t>nd</w:t>
      </w:r>
      <w:r>
        <w:rPr>
          <w:bCs/>
          <w:iCs/>
          <w:lang w:val="en-US"/>
        </w:rPr>
        <w:t xml:space="preserve"> Economic Research Forum (ERF) Annual Conference, March 19-21, 2016, Cairo,</w:t>
      </w:r>
    </w:p>
    <w:p w:rsidR="00517E76" w:rsidRPr="00EA5C49" w:rsidRDefault="00B45D5D" w:rsidP="001045CD">
      <w:pPr>
        <w:tabs>
          <w:tab w:val="left" w:pos="1701"/>
          <w:tab w:val="left" w:pos="1927"/>
        </w:tabs>
        <w:spacing w:line="360" w:lineRule="atLeast"/>
        <w:ind w:left="840" w:hanging="220"/>
        <w:rPr>
          <w:lang w:val="en-US"/>
        </w:rPr>
      </w:pPr>
      <w:r>
        <w:rPr>
          <w:bCs/>
          <w:iCs/>
          <w:lang w:val="en-US"/>
        </w:rPr>
        <w:tab/>
        <w:t xml:space="preserve">-  </w:t>
      </w:r>
      <w:r>
        <w:rPr>
          <w:lang w:val="en-US"/>
        </w:rPr>
        <w:t>2016 International Conference of the Financial Engineering and Banking Society (FEBS), 10-12 June 2016, Malaga,</w:t>
      </w:r>
    </w:p>
    <w:p w:rsidR="00B45D5D" w:rsidRPr="00EA5C49" w:rsidRDefault="00B45D5D" w:rsidP="001045CD">
      <w:pPr>
        <w:tabs>
          <w:tab w:val="left" w:pos="1701"/>
          <w:tab w:val="left" w:pos="1927"/>
        </w:tabs>
        <w:spacing w:line="360" w:lineRule="atLeast"/>
        <w:ind w:left="840" w:hanging="220"/>
        <w:rPr>
          <w:bCs/>
          <w:lang w:val="en-US"/>
        </w:rPr>
      </w:pPr>
      <w:r>
        <w:rPr>
          <w:lang w:val="en-US"/>
        </w:rPr>
        <w:tab/>
        <w:t xml:space="preserve">- </w:t>
      </w:r>
      <w:r>
        <w:rPr>
          <w:bCs/>
          <w:lang w:val="en-US"/>
        </w:rPr>
        <w:t>65</w:t>
      </w:r>
      <w:r>
        <w:rPr>
          <w:bCs/>
          <w:vertAlign w:val="superscript"/>
          <w:lang w:val="en-US"/>
        </w:rPr>
        <w:t>th</w:t>
      </w:r>
      <w:r>
        <w:rPr>
          <w:bCs/>
          <w:lang w:val="en-US"/>
        </w:rPr>
        <w:t xml:space="preserve"> Annual Meeting of the French Economics Association (AFSE), 27-29 June 2013, Nancy,</w:t>
      </w:r>
    </w:p>
    <w:p w:rsidR="00B45D5D" w:rsidRPr="00EA5C49" w:rsidRDefault="00B45D5D" w:rsidP="001045CD">
      <w:pPr>
        <w:tabs>
          <w:tab w:val="left" w:pos="1701"/>
          <w:tab w:val="left" w:pos="1927"/>
        </w:tabs>
        <w:spacing w:line="360" w:lineRule="atLeast"/>
        <w:ind w:left="840" w:hanging="220"/>
        <w:rPr>
          <w:bCs/>
          <w:iCs/>
          <w:lang w:val="en-US"/>
        </w:rPr>
      </w:pPr>
      <w:r>
        <w:rPr>
          <w:bCs/>
          <w:lang w:val="en-US"/>
        </w:rPr>
        <w:lastRenderedPageBreak/>
        <w:tab/>
        <w:t>-29th GdRE Annual International Symposium on Money, Banking and Finance</w:t>
      </w:r>
      <w:r>
        <w:rPr>
          <w:b/>
          <w:bCs/>
          <w:lang w:val="en-US"/>
        </w:rPr>
        <w:t xml:space="preserve">, </w:t>
      </w:r>
      <w:r>
        <w:rPr>
          <w:bCs/>
          <w:lang w:val="en-US"/>
        </w:rPr>
        <w:t>7-8</w:t>
      </w:r>
      <w:r>
        <w:rPr>
          <w:b/>
          <w:bCs/>
          <w:lang w:val="en-US"/>
        </w:rPr>
        <w:t xml:space="preserve"> </w:t>
      </w:r>
      <w:r>
        <w:rPr>
          <w:bCs/>
          <w:lang w:val="en-US"/>
        </w:rPr>
        <w:t>July 2016, Clermont-Ferrand.</w:t>
      </w:r>
    </w:p>
    <w:p w:rsidR="00AF1C10" w:rsidRPr="00EA5C49" w:rsidRDefault="00AF1C10" w:rsidP="001045CD">
      <w:pPr>
        <w:tabs>
          <w:tab w:val="left" w:pos="1701"/>
          <w:tab w:val="left" w:pos="1927"/>
        </w:tabs>
        <w:spacing w:line="360" w:lineRule="atLeast"/>
        <w:ind w:left="840" w:hanging="220"/>
        <w:rPr>
          <w:bCs/>
          <w:iCs/>
          <w:lang w:val="en-US"/>
        </w:rPr>
      </w:pPr>
      <w:r>
        <w:rPr>
          <w:bCs/>
          <w:iCs/>
          <w:lang w:val="en-GB"/>
        </w:rPr>
        <w:t>• "</w:t>
      </w:r>
      <w:r>
        <w:rPr>
          <w:bCs/>
          <w:i/>
          <w:iCs/>
          <w:lang w:val="en-US"/>
        </w:rPr>
        <w:t>Deposit rates in Islamic and conventional banks in dual markets: The role of competition</w:t>
      </w:r>
      <w:r>
        <w:rPr>
          <w:bCs/>
          <w:iCs/>
          <w:lang w:val="en-US"/>
        </w:rPr>
        <w:t>", with C. Meslier and T. Risfandy, The Future of Islamic Banking and Economics in Search of New Normal, Central Bank of the Republic of Turkey Conference,  4-5 April 2016, Istanbul.</w:t>
      </w:r>
    </w:p>
    <w:p w:rsidR="002E2D2B" w:rsidRPr="00EA5C49" w:rsidRDefault="002E2D2B" w:rsidP="001045CD">
      <w:pPr>
        <w:tabs>
          <w:tab w:val="left" w:pos="1701"/>
          <w:tab w:val="left" w:pos="1927"/>
        </w:tabs>
        <w:spacing w:line="360" w:lineRule="atLeast"/>
        <w:ind w:left="840" w:hanging="220"/>
        <w:rPr>
          <w:bCs/>
          <w:iCs/>
          <w:lang w:val="en-US"/>
        </w:rPr>
      </w:pPr>
      <w:r>
        <w:rPr>
          <w:bCs/>
          <w:iCs/>
          <w:lang w:val="en-GB"/>
        </w:rPr>
        <w:t>•</w:t>
      </w:r>
      <w:r>
        <w:rPr>
          <w:bCs/>
          <w:i/>
          <w:iCs/>
          <w:lang w:val="en-US"/>
        </w:rPr>
        <w:t>“How does regulation affect the organizational form of European banks' foreign presence?”</w:t>
      </w:r>
      <w:r>
        <w:rPr>
          <w:bCs/>
          <w:iCs/>
          <w:lang w:val="en-US"/>
        </w:rPr>
        <w:t>, with A. Pamen Nyola and A. Sauviat, Journées Internationales du risque / International Conference on Economic and Financial Risks, 9-10 June 2016, Niort.</w:t>
      </w:r>
    </w:p>
    <w:p w:rsidR="009D6DD5" w:rsidRPr="00EA5C49" w:rsidRDefault="009D6DD5" w:rsidP="009D6DD5">
      <w:pPr>
        <w:tabs>
          <w:tab w:val="left" w:pos="1701"/>
          <w:tab w:val="left" w:pos="1927"/>
        </w:tabs>
        <w:spacing w:line="360" w:lineRule="atLeast"/>
        <w:ind w:left="840" w:hanging="220"/>
        <w:rPr>
          <w:bCs/>
          <w:iCs/>
          <w:lang w:val="en-US"/>
        </w:rPr>
      </w:pPr>
      <w:r>
        <w:rPr>
          <w:bCs/>
          <w:iCs/>
          <w:lang w:val="en-GB"/>
        </w:rPr>
        <w:t xml:space="preserve">• </w:t>
      </w:r>
      <w:r>
        <w:rPr>
          <w:bCs/>
          <w:i/>
          <w:iCs/>
          <w:lang w:val="en-GB"/>
        </w:rPr>
        <w:t>"</w:t>
      </w:r>
      <w:r>
        <w:rPr>
          <w:bCs/>
          <w:i/>
          <w:iCs/>
          <w:lang w:val="en-US"/>
        </w:rPr>
        <w:t>Charter value and bank stability before and after the global financial crisis of 2007-2008"</w:t>
      </w:r>
      <w:r>
        <w:rPr>
          <w:bCs/>
          <w:iCs/>
          <w:lang w:val="en-US"/>
        </w:rPr>
        <w:t xml:space="preserve">, with Y. Bakkar and C. Rugemintwari,  </w:t>
      </w:r>
    </w:p>
    <w:p w:rsidR="009D6DD5" w:rsidRPr="00EA5C49" w:rsidRDefault="009D6DD5" w:rsidP="009D6DD5">
      <w:pPr>
        <w:tabs>
          <w:tab w:val="left" w:pos="1701"/>
          <w:tab w:val="left" w:pos="1927"/>
        </w:tabs>
        <w:spacing w:line="360" w:lineRule="atLeast"/>
        <w:ind w:left="840" w:hanging="220"/>
        <w:rPr>
          <w:bCs/>
          <w:iCs/>
          <w:lang w:val="en-US"/>
        </w:rPr>
      </w:pPr>
      <w:r>
        <w:rPr>
          <w:bCs/>
          <w:iCs/>
          <w:lang w:val="en-US"/>
        </w:rPr>
        <w:tab/>
        <w:t>-29th GdRE Annual International Symposium on Money, Banking and Finance</w:t>
      </w:r>
      <w:r>
        <w:rPr>
          <w:b/>
          <w:bCs/>
          <w:iCs/>
          <w:lang w:val="en-US"/>
        </w:rPr>
        <w:t xml:space="preserve">, </w:t>
      </w:r>
      <w:r>
        <w:rPr>
          <w:bCs/>
          <w:iCs/>
          <w:lang w:val="en-US"/>
        </w:rPr>
        <w:t>7-8</w:t>
      </w:r>
      <w:r>
        <w:rPr>
          <w:b/>
          <w:bCs/>
          <w:iCs/>
          <w:lang w:val="en-US"/>
        </w:rPr>
        <w:t xml:space="preserve"> </w:t>
      </w:r>
      <w:r>
        <w:rPr>
          <w:bCs/>
          <w:iCs/>
          <w:lang w:val="en-US"/>
        </w:rPr>
        <w:t>July 2016, Clermont-Ferrand.</w:t>
      </w:r>
    </w:p>
    <w:p w:rsidR="002E2D2B" w:rsidRPr="00EA5C49" w:rsidRDefault="002E2D2B" w:rsidP="009D6DD5">
      <w:pPr>
        <w:tabs>
          <w:tab w:val="left" w:pos="1701"/>
          <w:tab w:val="left" w:pos="1927"/>
        </w:tabs>
        <w:spacing w:line="360" w:lineRule="atLeast"/>
        <w:ind w:left="840" w:hanging="220"/>
        <w:rPr>
          <w:bCs/>
          <w:iCs/>
          <w:lang w:val="en-US"/>
        </w:rPr>
      </w:pPr>
      <w:r>
        <w:rPr>
          <w:bCs/>
          <w:iCs/>
          <w:lang w:val="en-US"/>
        </w:rPr>
        <w:tab/>
        <w:t>- Portsmouth-Fordham Conference on Banking and Finance, 24-25 September 2016, Portsmouth, UK.</w:t>
      </w:r>
    </w:p>
    <w:p w:rsidR="00FA2C2A" w:rsidRPr="00EA5C49" w:rsidRDefault="00FA2C2A" w:rsidP="009D6DD5">
      <w:pPr>
        <w:tabs>
          <w:tab w:val="left" w:pos="1701"/>
          <w:tab w:val="left" w:pos="1927"/>
        </w:tabs>
        <w:spacing w:line="360" w:lineRule="atLeast"/>
        <w:ind w:left="840" w:hanging="220"/>
        <w:rPr>
          <w:bCs/>
          <w:iCs/>
          <w:lang w:val="en-US"/>
        </w:rPr>
      </w:pPr>
      <w:r>
        <w:rPr>
          <w:bCs/>
          <w:iCs/>
          <w:lang w:val="en-GB"/>
        </w:rPr>
        <w:t xml:space="preserve">• </w:t>
      </w:r>
      <w:r>
        <w:rPr>
          <w:bCs/>
          <w:i/>
          <w:iCs/>
          <w:lang w:val="en-GB"/>
        </w:rPr>
        <w:t>"</w:t>
      </w:r>
      <w:r>
        <w:rPr>
          <w:bCs/>
          <w:i/>
          <w:iCs/>
          <w:lang w:val="en-US"/>
        </w:rPr>
        <w:t>Loan loss provisions and bank lending behavior:  Do information sharing and borrowers' legal rights matter?"</w:t>
      </w:r>
      <w:r>
        <w:rPr>
          <w:bCs/>
          <w:iCs/>
          <w:lang w:val="en-US"/>
        </w:rPr>
        <w:t>, with W. Soedarmono, A. Agusman, G. Monroe and D. Gasbarro, 3rd International Conference on Business, Economics and social sciences, 3-4 August 2016, Solo.</w:t>
      </w:r>
    </w:p>
    <w:p w:rsidR="002E2D2B" w:rsidRPr="00EA5C49" w:rsidRDefault="002E2D2B" w:rsidP="002E2D2B">
      <w:pPr>
        <w:tabs>
          <w:tab w:val="left" w:pos="1701"/>
          <w:tab w:val="left" w:pos="1927"/>
        </w:tabs>
        <w:spacing w:line="360" w:lineRule="atLeast"/>
        <w:ind w:left="840" w:hanging="220"/>
        <w:rPr>
          <w:bCs/>
          <w:iCs/>
          <w:lang w:val="en-US"/>
        </w:rPr>
      </w:pPr>
      <w:r>
        <w:rPr>
          <w:bCs/>
          <w:iCs/>
          <w:lang w:val="en-GB"/>
        </w:rPr>
        <w:t>• "</w:t>
      </w:r>
      <w:r>
        <w:rPr>
          <w:bCs/>
          <w:i/>
          <w:iCs/>
          <w:lang w:val="en-US"/>
        </w:rPr>
        <w:t>Value Relevance of Earnings of Multinational Firms: Regulatory Regimes Associated with Foreign Subsidiaries"</w:t>
      </w:r>
      <w:r>
        <w:rPr>
          <w:bCs/>
          <w:iCs/>
          <w:lang w:val="en-US"/>
        </w:rPr>
        <w:t xml:space="preserve">, with I. Hasan, I. Siraj and K. Wu, American Accounting Association Annual Meeting, 6-10 August 2016, New York. </w:t>
      </w:r>
    </w:p>
    <w:p w:rsidR="002E2D2B" w:rsidRPr="00EA5C49" w:rsidRDefault="002E2D2B" w:rsidP="002E2D2B">
      <w:pPr>
        <w:tabs>
          <w:tab w:val="left" w:pos="1701"/>
          <w:tab w:val="left" w:pos="1927"/>
        </w:tabs>
        <w:spacing w:line="360" w:lineRule="atLeast"/>
        <w:ind w:left="840" w:hanging="220"/>
        <w:rPr>
          <w:bCs/>
          <w:iCs/>
          <w:lang w:val="en-US"/>
        </w:rPr>
      </w:pPr>
      <w:r>
        <w:rPr>
          <w:bCs/>
          <w:iCs/>
          <w:lang w:val="en-GB"/>
        </w:rPr>
        <w:t xml:space="preserve">• </w:t>
      </w:r>
      <w:r>
        <w:rPr>
          <w:bCs/>
          <w:i/>
          <w:iCs/>
          <w:lang w:val="en-GB"/>
        </w:rPr>
        <w:t>"How does regulation affect the organizational form of European banks' presence in developing and developed countries"</w:t>
      </w:r>
      <w:r>
        <w:rPr>
          <w:bCs/>
          <w:iCs/>
          <w:lang w:val="en-GB"/>
        </w:rPr>
        <w:t xml:space="preserve">, with A. Pamen Nyola and A. Sauviat, </w:t>
      </w:r>
      <w:r>
        <w:rPr>
          <w:bCs/>
          <w:iCs/>
          <w:lang w:val="en-US"/>
        </w:rPr>
        <w:t>Portsmouth-Fordham Conference on Banking and Finance, 24-25 September 2016, Portsmouth, UK.</w:t>
      </w:r>
    </w:p>
    <w:p w:rsidR="008D3254" w:rsidRPr="00EA5C49" w:rsidRDefault="002E2D2B" w:rsidP="002E2D2B">
      <w:pPr>
        <w:tabs>
          <w:tab w:val="left" w:pos="1701"/>
          <w:tab w:val="left" w:pos="1927"/>
        </w:tabs>
        <w:spacing w:line="360" w:lineRule="atLeast"/>
        <w:ind w:left="840" w:hanging="220"/>
        <w:rPr>
          <w:bCs/>
          <w:iCs/>
          <w:lang w:val="en-US"/>
        </w:rPr>
      </w:pPr>
      <w:r>
        <w:rPr>
          <w:bCs/>
          <w:iCs/>
          <w:lang w:val="en-GB"/>
        </w:rPr>
        <w:t xml:space="preserve">• </w:t>
      </w:r>
      <w:r>
        <w:rPr>
          <w:bCs/>
          <w:i/>
          <w:iCs/>
          <w:lang w:val="en-GB"/>
        </w:rPr>
        <w:t>"Do banks differently set their liquidity ratios based on their network characteristics",</w:t>
      </w:r>
      <w:r>
        <w:rPr>
          <w:bCs/>
          <w:iCs/>
          <w:lang w:val="en-GB"/>
        </w:rPr>
        <w:t xml:space="preserve"> with I. Distinguin and A. Mahdavi-Ardekani,</w:t>
      </w:r>
      <w:r>
        <w:rPr>
          <w:bCs/>
          <w:iCs/>
          <w:lang w:val="en-US"/>
        </w:rPr>
        <w:t xml:space="preserve"> </w:t>
      </w:r>
    </w:p>
    <w:p w:rsidR="002E2D2B" w:rsidRPr="00EA5C49" w:rsidRDefault="008D3254" w:rsidP="002E2D2B">
      <w:pPr>
        <w:tabs>
          <w:tab w:val="left" w:pos="1701"/>
          <w:tab w:val="left" w:pos="1927"/>
        </w:tabs>
        <w:spacing w:line="360" w:lineRule="atLeast"/>
        <w:ind w:left="840" w:hanging="220"/>
        <w:rPr>
          <w:bCs/>
          <w:iCs/>
          <w:lang w:val="en-US"/>
        </w:rPr>
      </w:pPr>
      <w:r>
        <w:rPr>
          <w:bCs/>
          <w:iCs/>
          <w:lang w:val="en-US"/>
        </w:rPr>
        <w:tab/>
        <w:t xml:space="preserve">- Portsmouth-Fordham Conference on Banking and Finance, 24-25 September </w:t>
      </w:r>
      <w:r>
        <w:rPr>
          <w:bCs/>
          <w:iCs/>
          <w:lang w:val="en-US"/>
        </w:rPr>
        <w:tab/>
        <w:t>2016, Portsmouth, UK.</w:t>
      </w:r>
    </w:p>
    <w:p w:rsidR="008D3254" w:rsidRPr="00EA5C49" w:rsidRDefault="008D3254" w:rsidP="008D3254">
      <w:pPr>
        <w:tabs>
          <w:tab w:val="left" w:pos="1701"/>
          <w:tab w:val="left" w:pos="1927"/>
        </w:tabs>
        <w:spacing w:line="360" w:lineRule="atLeast"/>
        <w:ind w:left="840" w:hanging="220"/>
        <w:rPr>
          <w:bCs/>
          <w:iCs/>
          <w:lang w:val="en-US"/>
        </w:rPr>
      </w:pPr>
      <w:r>
        <w:rPr>
          <w:bCs/>
          <w:iCs/>
          <w:lang w:val="en-US"/>
        </w:rPr>
        <w:tab/>
        <w:t>- 29</w:t>
      </w:r>
      <w:r>
        <w:rPr>
          <w:bCs/>
          <w:iCs/>
          <w:vertAlign w:val="superscript"/>
          <w:lang w:val="en-US"/>
        </w:rPr>
        <w:t>th</w:t>
      </w:r>
      <w:r>
        <w:rPr>
          <w:bCs/>
          <w:iCs/>
          <w:lang w:val="en-US"/>
        </w:rPr>
        <w:t xml:space="preserve"> Australasian Finance &amp; Banking Conference, 14-16 December 2016, Sydney.</w:t>
      </w:r>
    </w:p>
    <w:p w:rsidR="008D3254" w:rsidRPr="008D3254" w:rsidRDefault="008D3254" w:rsidP="008D3254">
      <w:pPr>
        <w:tabs>
          <w:tab w:val="left" w:pos="1701"/>
          <w:tab w:val="left" w:pos="1927"/>
        </w:tabs>
        <w:spacing w:line="360" w:lineRule="atLeast"/>
        <w:ind w:left="840" w:hanging="220"/>
        <w:rPr>
          <w:bCs/>
          <w:iCs/>
          <w:lang w:val="en-GB"/>
        </w:rPr>
      </w:pPr>
      <w:r>
        <w:rPr>
          <w:bCs/>
          <w:iCs/>
          <w:lang w:val="en-US"/>
        </w:rPr>
        <w:tab/>
        <w:t xml:space="preserve">- Western Economic Association International (WEAI) 13th international conference, </w:t>
      </w:r>
      <w:r>
        <w:rPr>
          <w:bCs/>
          <w:iCs/>
          <w:lang w:val="en-GB"/>
        </w:rPr>
        <w:t> 3-6 January 2017, Santiago.</w:t>
      </w:r>
    </w:p>
    <w:p w:rsidR="008D3254" w:rsidRPr="008D3254" w:rsidRDefault="008D3254" w:rsidP="008D3254">
      <w:pPr>
        <w:tabs>
          <w:tab w:val="left" w:pos="1701"/>
          <w:tab w:val="left" w:pos="1927"/>
        </w:tabs>
        <w:spacing w:line="360" w:lineRule="atLeast"/>
        <w:ind w:left="840" w:hanging="220"/>
        <w:rPr>
          <w:bCs/>
          <w:iCs/>
          <w:lang w:val="en-GB"/>
        </w:rPr>
      </w:pPr>
      <w:r>
        <w:rPr>
          <w:bCs/>
          <w:iCs/>
          <w:lang w:val="en-GB"/>
        </w:rPr>
        <w:tab/>
        <w:t>- 2017 FMA Latin America conference, 15-17 February 2017, Mexico City.</w:t>
      </w:r>
    </w:p>
    <w:p w:rsidR="002E2D2B" w:rsidRDefault="008D3254" w:rsidP="009D6DD5">
      <w:pPr>
        <w:tabs>
          <w:tab w:val="left" w:pos="1701"/>
          <w:tab w:val="left" w:pos="1927"/>
        </w:tabs>
        <w:spacing w:line="360" w:lineRule="atLeast"/>
        <w:ind w:left="840" w:hanging="220"/>
        <w:rPr>
          <w:bCs/>
          <w:iCs/>
          <w:lang w:val="en-GB"/>
        </w:rPr>
      </w:pPr>
      <w:r>
        <w:rPr>
          <w:bCs/>
          <w:iCs/>
          <w:lang w:val="en-GB"/>
        </w:rPr>
        <w:tab/>
        <w:t xml:space="preserve">- 2017 MFA annual meeting, 1-4 March 2017, Chicago. </w:t>
      </w:r>
    </w:p>
    <w:p w:rsidR="006E15E2" w:rsidRPr="00EA5C49" w:rsidRDefault="004E70F1" w:rsidP="009D6DD5">
      <w:pPr>
        <w:tabs>
          <w:tab w:val="left" w:pos="1701"/>
          <w:tab w:val="left" w:pos="1927"/>
        </w:tabs>
        <w:spacing w:line="360" w:lineRule="atLeast"/>
        <w:ind w:left="840" w:hanging="220"/>
        <w:rPr>
          <w:bCs/>
          <w:iCs/>
          <w:lang w:val="en-US"/>
        </w:rPr>
      </w:pPr>
      <w:r>
        <w:rPr>
          <w:bCs/>
          <w:iCs/>
          <w:lang w:val="en-GB"/>
        </w:rPr>
        <w:t>• "</w:t>
      </w:r>
      <w:r>
        <w:rPr>
          <w:bCs/>
          <w:i/>
          <w:iCs/>
          <w:lang w:val="en-US"/>
        </w:rPr>
        <w:t>Institutional determinants of bank capital ratios</w:t>
      </w:r>
      <w:r>
        <w:rPr>
          <w:bCs/>
          <w:iCs/>
          <w:lang w:val="en-US"/>
        </w:rPr>
        <w:t xml:space="preserve">", with T. AlRaheb and C. Nicolas, </w:t>
      </w:r>
    </w:p>
    <w:p w:rsidR="004E70F1" w:rsidRPr="00EA5C49" w:rsidRDefault="006E15E2" w:rsidP="009D6DD5">
      <w:pPr>
        <w:tabs>
          <w:tab w:val="left" w:pos="1701"/>
          <w:tab w:val="left" w:pos="1927"/>
        </w:tabs>
        <w:spacing w:line="360" w:lineRule="atLeast"/>
        <w:ind w:left="840" w:hanging="220"/>
        <w:rPr>
          <w:bCs/>
          <w:iCs/>
          <w:lang w:val="en-US"/>
        </w:rPr>
      </w:pPr>
      <w:r>
        <w:rPr>
          <w:bCs/>
          <w:iCs/>
          <w:lang w:val="en-US"/>
        </w:rPr>
        <w:tab/>
        <w:t>- 23</w:t>
      </w:r>
      <w:r>
        <w:rPr>
          <w:bCs/>
          <w:iCs/>
          <w:vertAlign w:val="superscript"/>
          <w:lang w:val="en-US"/>
        </w:rPr>
        <w:t>rd</w:t>
      </w:r>
      <w:r>
        <w:rPr>
          <w:bCs/>
          <w:iCs/>
          <w:lang w:val="en-US"/>
        </w:rPr>
        <w:t xml:space="preserve"> Economic Research Forum (ERF) Annual Conference, March 18-20, 2017, Amman.</w:t>
      </w:r>
    </w:p>
    <w:p w:rsidR="006E15E2" w:rsidRPr="00EA5C49" w:rsidRDefault="006E15E2" w:rsidP="009D6DD5">
      <w:pPr>
        <w:tabs>
          <w:tab w:val="left" w:pos="1701"/>
          <w:tab w:val="left" w:pos="1927"/>
        </w:tabs>
        <w:spacing w:line="360" w:lineRule="atLeast"/>
        <w:ind w:left="840" w:hanging="220"/>
        <w:rPr>
          <w:bCs/>
          <w:iCs/>
          <w:lang w:val="en-US"/>
        </w:rPr>
      </w:pPr>
      <w:r>
        <w:rPr>
          <w:bCs/>
          <w:iCs/>
          <w:lang w:val="en-US"/>
        </w:rPr>
        <w:tab/>
        <w:t xml:space="preserve">- Allied Social Sciences Association (ASSA), Annual Conference, 5-7 January </w:t>
      </w:r>
      <w:r>
        <w:rPr>
          <w:bCs/>
          <w:iCs/>
          <w:lang w:val="en-US"/>
        </w:rPr>
        <w:tab/>
        <w:t>2018, Philadelphia.</w:t>
      </w:r>
    </w:p>
    <w:p w:rsidR="006E15E2" w:rsidRPr="00EA5C49" w:rsidRDefault="006E15E2" w:rsidP="009D6DD5">
      <w:pPr>
        <w:tabs>
          <w:tab w:val="left" w:pos="1701"/>
          <w:tab w:val="left" w:pos="1927"/>
        </w:tabs>
        <w:spacing w:line="360" w:lineRule="atLeast"/>
        <w:ind w:left="840" w:hanging="220"/>
        <w:rPr>
          <w:bCs/>
          <w:iCs/>
          <w:lang w:val="en-US"/>
        </w:rPr>
      </w:pPr>
      <w:r>
        <w:rPr>
          <w:bCs/>
          <w:iCs/>
          <w:lang w:val="en-US"/>
        </w:rPr>
        <w:tab/>
        <w:t>- 35th Annual Conference of the French Finance Association (AFFI), 22-23 May 2018, Paris.</w:t>
      </w:r>
    </w:p>
    <w:p w:rsidR="00035352" w:rsidRPr="00EA5C49" w:rsidRDefault="006E15E2" w:rsidP="009D6DD5">
      <w:pPr>
        <w:tabs>
          <w:tab w:val="left" w:pos="1701"/>
          <w:tab w:val="left" w:pos="1927"/>
        </w:tabs>
        <w:spacing w:line="360" w:lineRule="atLeast"/>
        <w:ind w:left="840" w:hanging="220"/>
        <w:rPr>
          <w:bCs/>
          <w:iCs/>
          <w:lang w:val="en-US"/>
        </w:rPr>
      </w:pPr>
      <w:r>
        <w:rPr>
          <w:bCs/>
          <w:iCs/>
          <w:lang w:val="en-US"/>
        </w:rPr>
        <w:lastRenderedPageBreak/>
        <w:tab/>
        <w:t>- 35th International Symposium on Money, Banking, and Finance (GDRE), 7-8 June 2018, Aix-en-Provence.</w:t>
      </w:r>
    </w:p>
    <w:p w:rsidR="00CA7400" w:rsidRPr="00EA5C49" w:rsidRDefault="00CA7400" w:rsidP="009D6DD5">
      <w:pPr>
        <w:tabs>
          <w:tab w:val="left" w:pos="1701"/>
          <w:tab w:val="left" w:pos="1927"/>
        </w:tabs>
        <w:spacing w:line="360" w:lineRule="atLeast"/>
        <w:ind w:left="840" w:hanging="220"/>
        <w:rPr>
          <w:bCs/>
          <w:iCs/>
          <w:lang w:val="en-US"/>
        </w:rPr>
      </w:pPr>
      <w:r>
        <w:rPr>
          <w:bCs/>
          <w:iCs/>
          <w:lang w:val="en-GB"/>
        </w:rPr>
        <w:t>•  "</w:t>
      </w:r>
      <w:r>
        <w:rPr>
          <w:bCs/>
          <w:i/>
          <w:iCs/>
          <w:lang w:val="en-GB"/>
        </w:rPr>
        <w:t>On the new Basel III liquidity requirements for banks</w:t>
      </w:r>
      <w:r>
        <w:rPr>
          <w:bCs/>
          <w:iCs/>
          <w:lang w:val="en-GB"/>
        </w:rPr>
        <w:t>", Keynote Speech,</w:t>
      </w:r>
      <w:r>
        <w:rPr>
          <w:bCs/>
          <w:iCs/>
          <w:lang w:val="en-US"/>
        </w:rPr>
        <w:t xml:space="preserve"> 4th SMICBES conference, 9-10 August 2017, Solo</w:t>
      </w:r>
    </w:p>
    <w:p w:rsidR="00CA7400" w:rsidRPr="00EA5C49" w:rsidRDefault="00CA7400" w:rsidP="00CA7400">
      <w:pPr>
        <w:tabs>
          <w:tab w:val="left" w:pos="1701"/>
          <w:tab w:val="left" w:pos="1927"/>
        </w:tabs>
        <w:spacing w:line="360" w:lineRule="atLeast"/>
        <w:ind w:left="840" w:hanging="220"/>
        <w:rPr>
          <w:bCs/>
          <w:iCs/>
          <w:lang w:val="en-US"/>
        </w:rPr>
      </w:pPr>
      <w:r>
        <w:rPr>
          <w:bCs/>
          <w:iCs/>
          <w:lang w:val="en-GB"/>
        </w:rPr>
        <w:t>• "</w:t>
      </w:r>
      <w:r>
        <w:rPr>
          <w:bCs/>
          <w:i/>
          <w:iCs/>
          <w:lang w:val="en-US"/>
        </w:rPr>
        <w:t>Bank Liquidity Management and Bank Capital Shocks</w:t>
      </w:r>
      <w:r>
        <w:rPr>
          <w:bCs/>
          <w:iCs/>
          <w:lang w:val="en-US"/>
        </w:rPr>
        <w:t>", with R. DeYoung and I. Distinguin,</w:t>
      </w:r>
    </w:p>
    <w:p w:rsidR="00CA7400" w:rsidRPr="00EA5C49" w:rsidRDefault="000367E8" w:rsidP="00CA7400">
      <w:pPr>
        <w:tabs>
          <w:tab w:val="left" w:pos="1701"/>
          <w:tab w:val="left" w:pos="1927"/>
        </w:tabs>
        <w:spacing w:line="360" w:lineRule="atLeast"/>
        <w:ind w:left="840" w:hanging="220"/>
        <w:rPr>
          <w:bCs/>
          <w:iCs/>
          <w:lang w:val="en-US"/>
        </w:rPr>
      </w:pPr>
      <w:r>
        <w:rPr>
          <w:bCs/>
          <w:iCs/>
          <w:lang w:val="en-US"/>
        </w:rPr>
        <w:tab/>
        <w:t>- Manhattan Institute (presented by R. DeYoung), 19 May 2017, New York City.</w:t>
      </w:r>
    </w:p>
    <w:p w:rsidR="004D6FFF" w:rsidRPr="00EA5C49" w:rsidRDefault="000367E8" w:rsidP="00CA7400">
      <w:pPr>
        <w:tabs>
          <w:tab w:val="left" w:pos="1701"/>
          <w:tab w:val="left" w:pos="1927"/>
        </w:tabs>
        <w:spacing w:line="360" w:lineRule="atLeast"/>
        <w:ind w:left="840" w:hanging="220"/>
        <w:rPr>
          <w:bCs/>
          <w:iCs/>
          <w:lang w:val="en-US"/>
        </w:rPr>
      </w:pPr>
      <w:r>
        <w:rPr>
          <w:bCs/>
          <w:iCs/>
          <w:lang w:val="en-US"/>
        </w:rPr>
        <w:tab/>
        <w:t xml:space="preserve">-2nd Vietnam Symposium in Banking and Finance, 26-28 October 2017, </w:t>
      </w:r>
      <w:r>
        <w:rPr>
          <w:lang w:val="en-US"/>
        </w:rPr>
        <w:t>Ho Chi Minh City.</w:t>
      </w:r>
    </w:p>
    <w:p w:rsidR="00D251F0" w:rsidRPr="00EA5C49" w:rsidRDefault="000367E8" w:rsidP="00D251F0">
      <w:pPr>
        <w:tabs>
          <w:tab w:val="left" w:pos="1701"/>
          <w:tab w:val="left" w:pos="1927"/>
        </w:tabs>
        <w:spacing w:line="360" w:lineRule="atLeast"/>
        <w:ind w:left="840" w:hanging="220"/>
        <w:rPr>
          <w:bCs/>
          <w:iCs/>
          <w:lang w:val="en-US"/>
        </w:rPr>
      </w:pPr>
      <w:r>
        <w:rPr>
          <w:bCs/>
          <w:iCs/>
          <w:lang w:val="en-GB"/>
        </w:rPr>
        <w:tab/>
        <w:t>-</w:t>
      </w:r>
      <w:r>
        <w:rPr>
          <w:bCs/>
          <w:iCs/>
          <w:lang w:val="en-US"/>
        </w:rPr>
        <w:t>30th Australasian Finance &amp; Banking Conference, 13-15 December 2017, Sydney.</w:t>
      </w:r>
    </w:p>
    <w:p w:rsidR="00B66924" w:rsidRPr="00EA5C49" w:rsidRDefault="006E15E2" w:rsidP="00D251F0">
      <w:pPr>
        <w:tabs>
          <w:tab w:val="left" w:pos="1701"/>
          <w:tab w:val="left" w:pos="1927"/>
        </w:tabs>
        <w:spacing w:line="360" w:lineRule="atLeast"/>
        <w:ind w:left="840" w:hanging="220"/>
        <w:rPr>
          <w:bCs/>
          <w:iCs/>
          <w:lang w:val="en-US"/>
        </w:rPr>
      </w:pPr>
      <w:r>
        <w:rPr>
          <w:bCs/>
          <w:iCs/>
          <w:lang w:val="en-US"/>
        </w:rPr>
        <w:tab/>
        <w:t>-FMA Asia-Pacific Conference, 16-18 May 2018, Hong Kong.</w:t>
      </w:r>
    </w:p>
    <w:p w:rsidR="0032115B" w:rsidRPr="0032115B" w:rsidRDefault="0032115B" w:rsidP="0032115B">
      <w:pPr>
        <w:tabs>
          <w:tab w:val="left" w:pos="1701"/>
          <w:tab w:val="left" w:pos="1927"/>
        </w:tabs>
        <w:spacing w:line="360" w:lineRule="atLeast"/>
        <w:ind w:left="840" w:hanging="220"/>
        <w:rPr>
          <w:bCs/>
          <w:iCs/>
          <w:lang w:val="en-GB"/>
        </w:rPr>
      </w:pPr>
      <w:r>
        <w:rPr>
          <w:bCs/>
          <w:iCs/>
          <w:lang w:val="en-GB"/>
        </w:rPr>
        <w:t>• "</w:t>
      </w:r>
      <w:r>
        <w:rPr>
          <w:bCs/>
          <w:i/>
          <w:iCs/>
          <w:lang w:val="en-GB"/>
        </w:rPr>
        <w:t>Does banks' systemic importance affect their capital structure adjustment process</w:t>
      </w:r>
      <w:r>
        <w:rPr>
          <w:bCs/>
          <w:iCs/>
          <w:lang w:val="en-GB"/>
        </w:rPr>
        <w:t xml:space="preserve">?", with Y. Bakkar and O. De Jonghe , </w:t>
      </w:r>
    </w:p>
    <w:p w:rsidR="0032115B" w:rsidRPr="0032115B" w:rsidRDefault="0032115B" w:rsidP="0032115B">
      <w:pPr>
        <w:tabs>
          <w:tab w:val="left" w:pos="1701"/>
          <w:tab w:val="left" w:pos="1927"/>
        </w:tabs>
        <w:spacing w:line="360" w:lineRule="atLeast"/>
        <w:ind w:left="840" w:hanging="220"/>
        <w:rPr>
          <w:bCs/>
          <w:iCs/>
          <w:lang w:val="en-GB"/>
        </w:rPr>
      </w:pPr>
      <w:r>
        <w:rPr>
          <w:bCs/>
          <w:iCs/>
          <w:lang w:val="en-GB"/>
        </w:rPr>
        <w:tab/>
        <w:t>- IFABS conference, 31 August-2 September 2017, Ningbo.</w:t>
      </w:r>
    </w:p>
    <w:p w:rsidR="0032115B" w:rsidRPr="00EA5C49" w:rsidRDefault="0032115B" w:rsidP="0032115B">
      <w:pPr>
        <w:tabs>
          <w:tab w:val="left" w:pos="1701"/>
          <w:tab w:val="left" w:pos="1927"/>
        </w:tabs>
        <w:spacing w:line="360" w:lineRule="atLeast"/>
        <w:ind w:left="840" w:hanging="220"/>
        <w:rPr>
          <w:bCs/>
          <w:iCs/>
          <w:lang w:val="en-US"/>
        </w:rPr>
      </w:pPr>
      <w:r>
        <w:rPr>
          <w:bCs/>
          <w:iCs/>
          <w:lang w:val="en-GB"/>
        </w:rPr>
        <w:tab/>
        <w:t xml:space="preserve">- </w:t>
      </w:r>
      <w:r>
        <w:rPr>
          <w:bCs/>
          <w:iCs/>
          <w:lang w:val="en-US"/>
        </w:rPr>
        <w:t>3rd Vietnam Symposium in Banking and Finance, 25-27 October 2018, Hue City.</w:t>
      </w:r>
    </w:p>
    <w:p w:rsidR="0032115B" w:rsidRPr="0032115B" w:rsidRDefault="0032115B" w:rsidP="00D251F0">
      <w:pPr>
        <w:tabs>
          <w:tab w:val="left" w:pos="1701"/>
          <w:tab w:val="left" w:pos="1927"/>
        </w:tabs>
        <w:spacing w:line="360" w:lineRule="atLeast"/>
        <w:ind w:left="840" w:hanging="220"/>
        <w:rPr>
          <w:bCs/>
          <w:iCs/>
          <w:lang w:val="en-GB"/>
        </w:rPr>
      </w:pPr>
      <w:r>
        <w:rPr>
          <w:bCs/>
          <w:iCs/>
          <w:lang w:val="en-US"/>
        </w:rPr>
        <w:tab/>
        <w:t xml:space="preserve">- 4th SEABC Conference, 8-9 November 2018, Palembang. </w:t>
      </w:r>
    </w:p>
    <w:p w:rsidR="000367E8" w:rsidRPr="00EA5C49" w:rsidRDefault="00041FD1" w:rsidP="00D251F0">
      <w:pPr>
        <w:tabs>
          <w:tab w:val="left" w:pos="1701"/>
          <w:tab w:val="left" w:pos="1927"/>
        </w:tabs>
        <w:spacing w:line="360" w:lineRule="atLeast"/>
        <w:ind w:left="840" w:hanging="220"/>
        <w:rPr>
          <w:bCs/>
          <w:iCs/>
          <w:lang w:val="en-US"/>
        </w:rPr>
      </w:pPr>
      <w:r>
        <w:rPr>
          <w:bCs/>
          <w:iCs/>
          <w:lang w:val="en-GB"/>
        </w:rPr>
        <w:t>• "</w:t>
      </w:r>
      <w:r>
        <w:rPr>
          <w:bCs/>
          <w:i/>
          <w:iCs/>
          <w:lang w:val="en-US"/>
        </w:rPr>
        <w:t>The joint regulation of bank liquidity and bank capital"</w:t>
      </w:r>
      <w:r>
        <w:rPr>
          <w:bCs/>
          <w:iCs/>
          <w:lang w:val="en-US"/>
        </w:rPr>
        <w:t>, with R. DeYoung and I. Distinguin,</w:t>
      </w:r>
    </w:p>
    <w:p w:rsidR="000367E8" w:rsidRPr="00EA5C49" w:rsidRDefault="000367E8" w:rsidP="000367E8">
      <w:pPr>
        <w:tabs>
          <w:tab w:val="left" w:pos="1701"/>
          <w:tab w:val="left" w:pos="1927"/>
        </w:tabs>
        <w:spacing w:line="360" w:lineRule="atLeast"/>
        <w:ind w:left="840" w:hanging="220"/>
        <w:rPr>
          <w:bCs/>
          <w:iCs/>
          <w:lang w:val="en-US"/>
        </w:rPr>
      </w:pPr>
      <w:r>
        <w:rPr>
          <w:bCs/>
          <w:iCs/>
          <w:lang w:val="en-US"/>
        </w:rPr>
        <w:tab/>
        <w:t xml:space="preserve">-Canadian Economic Association Conference, 31 May-3 June 2018, Montréal. </w:t>
      </w:r>
    </w:p>
    <w:p w:rsidR="000367E8" w:rsidRPr="00EA5C49" w:rsidRDefault="000367E8" w:rsidP="000367E8">
      <w:pPr>
        <w:tabs>
          <w:tab w:val="left" w:pos="1701"/>
          <w:tab w:val="left" w:pos="1927"/>
        </w:tabs>
        <w:spacing w:line="360" w:lineRule="atLeast"/>
        <w:ind w:left="840" w:hanging="220"/>
        <w:rPr>
          <w:bCs/>
          <w:iCs/>
          <w:lang w:val="en-US"/>
        </w:rPr>
      </w:pPr>
      <w:r>
        <w:rPr>
          <w:bCs/>
          <w:iCs/>
          <w:lang w:val="en-US"/>
        </w:rPr>
        <w:tab/>
        <w:t>-</w:t>
      </w:r>
      <w:r>
        <w:rPr>
          <w:bCs/>
          <w:lang w:val="en-GB"/>
        </w:rPr>
        <w:t>Western Economic Association International (WEAI), 93</w:t>
      </w:r>
      <w:r>
        <w:rPr>
          <w:bCs/>
          <w:vertAlign w:val="superscript"/>
          <w:lang w:val="en-GB"/>
        </w:rPr>
        <w:t>rd</w:t>
      </w:r>
      <w:r>
        <w:rPr>
          <w:bCs/>
          <w:lang w:val="en-GB"/>
        </w:rPr>
        <w:t xml:space="preserve"> annual conference, and IBEFA, 26-30 June 2018, </w:t>
      </w:r>
      <w:r>
        <w:rPr>
          <w:bCs/>
          <w:lang w:val="en-US"/>
        </w:rPr>
        <w:t>Vancouver.</w:t>
      </w:r>
    </w:p>
    <w:p w:rsidR="00041FD1" w:rsidRPr="00EA5C49" w:rsidRDefault="000367E8" w:rsidP="000367E8">
      <w:pPr>
        <w:tabs>
          <w:tab w:val="left" w:pos="1701"/>
          <w:tab w:val="left" w:pos="1927"/>
        </w:tabs>
        <w:spacing w:line="360" w:lineRule="atLeast"/>
        <w:ind w:left="840" w:hanging="220"/>
        <w:rPr>
          <w:bCs/>
          <w:iCs/>
          <w:lang w:val="en-US"/>
        </w:rPr>
      </w:pPr>
      <w:r>
        <w:rPr>
          <w:bCs/>
          <w:iCs/>
          <w:lang w:val="en-US"/>
        </w:rPr>
        <w:tab/>
      </w:r>
      <w:r>
        <w:rPr>
          <w:bCs/>
          <w:lang w:val="en-US"/>
        </w:rPr>
        <w:t>-</w:t>
      </w:r>
      <w:r>
        <w:rPr>
          <w:bCs/>
          <w:iCs/>
          <w:lang w:val="en-US"/>
        </w:rPr>
        <w:t>2nd International Conference on Finance, Banking, and Financial Stability (SMARTFAB), 17-19 July 2018.</w:t>
      </w:r>
    </w:p>
    <w:p w:rsidR="00486BA1" w:rsidRPr="00EA5C49" w:rsidRDefault="00486BA1" w:rsidP="00486BA1">
      <w:pPr>
        <w:tabs>
          <w:tab w:val="left" w:pos="1701"/>
          <w:tab w:val="left" w:pos="1927"/>
        </w:tabs>
        <w:spacing w:line="360" w:lineRule="atLeast"/>
        <w:ind w:left="840" w:hanging="220"/>
        <w:rPr>
          <w:bCs/>
          <w:iCs/>
          <w:lang w:val="en-US"/>
        </w:rPr>
      </w:pPr>
      <w:r>
        <w:rPr>
          <w:bCs/>
          <w:iCs/>
          <w:lang w:val="en-GB"/>
        </w:rPr>
        <w:t>• "</w:t>
      </w:r>
      <w:r>
        <w:rPr>
          <w:bCs/>
          <w:i/>
          <w:iCs/>
          <w:lang w:val="en-US"/>
        </w:rPr>
        <w:t>Market liquidity shortage and banks' capital structure and balance sheet adjustments: evidence from U.S.  commercial banks</w:t>
      </w:r>
      <w:r>
        <w:rPr>
          <w:bCs/>
          <w:iCs/>
          <w:lang w:val="en-US"/>
        </w:rPr>
        <w:t xml:space="preserve">", with T. Barry and A. Diabate, </w:t>
      </w:r>
    </w:p>
    <w:p w:rsidR="00486BA1" w:rsidRPr="00EA5C49" w:rsidRDefault="00486BA1" w:rsidP="00486BA1">
      <w:pPr>
        <w:tabs>
          <w:tab w:val="left" w:pos="1701"/>
          <w:tab w:val="left" w:pos="1927"/>
        </w:tabs>
        <w:spacing w:line="360" w:lineRule="atLeast"/>
        <w:ind w:left="840" w:hanging="220"/>
        <w:rPr>
          <w:bCs/>
          <w:iCs/>
          <w:lang w:val="en-US"/>
        </w:rPr>
      </w:pPr>
      <w:r>
        <w:rPr>
          <w:bCs/>
          <w:iCs/>
          <w:lang w:val="en-US"/>
        </w:rPr>
        <w:tab/>
        <w:t>- International Conference on Economic and Financial Risks, 21-22 June 2018, Niort.</w:t>
      </w:r>
    </w:p>
    <w:p w:rsidR="00472B84" w:rsidRDefault="00472B84" w:rsidP="00486BA1">
      <w:pPr>
        <w:tabs>
          <w:tab w:val="left" w:pos="1701"/>
          <w:tab w:val="left" w:pos="1927"/>
        </w:tabs>
        <w:spacing w:line="360" w:lineRule="atLeast"/>
        <w:ind w:left="840" w:hanging="220"/>
        <w:rPr>
          <w:bCs/>
          <w:iCs/>
          <w:lang w:val="en-US"/>
        </w:rPr>
      </w:pPr>
      <w:r>
        <w:rPr>
          <w:bCs/>
          <w:iCs/>
          <w:lang w:val="en-US"/>
        </w:rPr>
        <w:tab/>
        <w:t>-31th Australasian Finance &amp; Banking Conference, 13-15 December 2018, Sydney.</w:t>
      </w:r>
    </w:p>
    <w:p w:rsidR="00893656" w:rsidRDefault="00893656" w:rsidP="00486BA1">
      <w:pPr>
        <w:tabs>
          <w:tab w:val="left" w:pos="1701"/>
          <w:tab w:val="left" w:pos="1927"/>
        </w:tabs>
        <w:spacing w:line="360" w:lineRule="atLeast"/>
        <w:ind w:left="840" w:hanging="220"/>
        <w:rPr>
          <w:bCs/>
          <w:iCs/>
          <w:lang w:val="en-US"/>
        </w:rPr>
      </w:pPr>
      <w:r>
        <w:rPr>
          <w:bCs/>
          <w:iCs/>
          <w:lang w:val="en-US"/>
        </w:rPr>
        <w:tab/>
        <w:t>-4</w:t>
      </w:r>
      <w:r>
        <w:rPr>
          <w:bCs/>
          <w:iCs/>
          <w:vertAlign w:val="superscript"/>
          <w:lang w:val="en-US"/>
        </w:rPr>
        <w:t>th</w:t>
      </w:r>
      <w:r>
        <w:rPr>
          <w:bCs/>
          <w:iCs/>
          <w:lang w:val="en-US"/>
        </w:rPr>
        <w:t xml:space="preserve"> Vietnam Symposium in Banking and Finance, 24-26 October 2019, Hanoi. </w:t>
      </w:r>
    </w:p>
    <w:p w:rsidR="00D96FAC" w:rsidRPr="00D96FAC" w:rsidRDefault="00D96FAC" w:rsidP="00D96FAC">
      <w:pPr>
        <w:tabs>
          <w:tab w:val="left" w:pos="1701"/>
          <w:tab w:val="left" w:pos="1927"/>
        </w:tabs>
        <w:spacing w:line="360" w:lineRule="atLeast"/>
        <w:ind w:left="840" w:hanging="220"/>
        <w:rPr>
          <w:bCs/>
          <w:iCs/>
          <w:lang w:val="en-US"/>
        </w:rPr>
      </w:pPr>
      <w:r>
        <w:rPr>
          <w:bCs/>
          <w:iCs/>
          <w:lang w:val="en-US"/>
        </w:rPr>
        <w:t>• “</w:t>
      </w:r>
      <w:r>
        <w:rPr>
          <w:bCs/>
          <w:i/>
          <w:iCs/>
          <w:lang w:val="en-US"/>
        </w:rPr>
        <w:t>On the interaction of bank liquidity and capital</w:t>
      </w:r>
      <w:r>
        <w:rPr>
          <w:bCs/>
          <w:iCs/>
          <w:lang w:val="en-US"/>
        </w:rPr>
        <w:t xml:space="preserve">”, </w:t>
      </w:r>
    </w:p>
    <w:p w:rsidR="00D96FAC" w:rsidRPr="00D96FAC" w:rsidRDefault="00D96FAC" w:rsidP="00D96FAC">
      <w:pPr>
        <w:tabs>
          <w:tab w:val="left" w:pos="1701"/>
          <w:tab w:val="left" w:pos="1927"/>
        </w:tabs>
        <w:spacing w:line="360" w:lineRule="atLeast"/>
        <w:ind w:left="840" w:hanging="220"/>
        <w:rPr>
          <w:bCs/>
          <w:iCs/>
          <w:lang w:val="en-US"/>
        </w:rPr>
      </w:pPr>
      <w:r>
        <w:rPr>
          <w:bCs/>
          <w:iCs/>
          <w:lang w:val="en-US"/>
        </w:rPr>
        <w:tab/>
        <w:t xml:space="preserve">- 4th Annual Chapman Conference on Money and Finance : Liquidity: Pricing, Management and Financial Stability, 6-7 September 2019, Orange, California. </w:t>
      </w:r>
    </w:p>
    <w:p w:rsidR="00D96FAC" w:rsidRPr="00EA5C49" w:rsidRDefault="00D96FAC" w:rsidP="00D96FAC">
      <w:pPr>
        <w:tabs>
          <w:tab w:val="left" w:pos="1701"/>
          <w:tab w:val="left" w:pos="1927"/>
        </w:tabs>
        <w:spacing w:line="360" w:lineRule="atLeast"/>
        <w:ind w:left="840" w:hanging="220"/>
        <w:rPr>
          <w:bCs/>
          <w:iCs/>
          <w:lang w:val="en-US"/>
        </w:rPr>
      </w:pPr>
      <w:r>
        <w:rPr>
          <w:bCs/>
          <w:iCs/>
          <w:lang w:val="en-US"/>
        </w:rPr>
        <w:tab/>
        <w:t xml:space="preserve">- Keynote speaker, 29th EBES Conference, 10-12 October 2019, Lisbon. </w:t>
      </w:r>
    </w:p>
    <w:p w:rsidR="001045CD" w:rsidRDefault="00893656" w:rsidP="006C2965">
      <w:pPr>
        <w:tabs>
          <w:tab w:val="left" w:pos="1701"/>
          <w:tab w:val="left" w:pos="1927"/>
        </w:tabs>
        <w:spacing w:line="360" w:lineRule="atLeast"/>
        <w:ind w:left="840" w:hanging="220"/>
        <w:rPr>
          <w:bCs/>
          <w:iCs/>
          <w:lang w:val="en-GB"/>
        </w:rPr>
      </w:pPr>
      <w:r>
        <w:rPr>
          <w:bCs/>
          <w:iCs/>
          <w:lang w:val="en-GB"/>
        </w:rPr>
        <w:t>• "</w:t>
      </w:r>
      <w:r>
        <w:rPr>
          <w:rFonts w:asciiTheme="majorBidi" w:eastAsiaTheme="minorHAnsi" w:hAnsiTheme="majorBidi" w:cstheme="majorBidi"/>
          <w:b/>
          <w:bCs/>
          <w:sz w:val="28"/>
          <w:szCs w:val="28"/>
          <w:lang w:val="en-US" w:eastAsia="en-US"/>
        </w:rPr>
        <w:t xml:space="preserve"> </w:t>
      </w:r>
      <w:r>
        <w:rPr>
          <w:bCs/>
          <w:i/>
          <w:iCs/>
          <w:lang w:val="en-US"/>
        </w:rPr>
        <w:t>Interbank network characteristics, monetary policy "News" and sensitivity of bank stock returns”</w:t>
      </w:r>
      <w:r>
        <w:rPr>
          <w:bCs/>
          <w:iCs/>
          <w:lang w:val="en-GB"/>
        </w:rPr>
        <w:t xml:space="preserve"> with I. Distinguin and A. Mahdavi-Ardekani,</w:t>
      </w:r>
    </w:p>
    <w:p w:rsidR="00C76783" w:rsidRDefault="00C76783" w:rsidP="006C2965">
      <w:pPr>
        <w:tabs>
          <w:tab w:val="left" w:pos="1701"/>
          <w:tab w:val="left" w:pos="1927"/>
        </w:tabs>
        <w:spacing w:line="360" w:lineRule="atLeast"/>
        <w:ind w:left="840" w:hanging="220"/>
        <w:rPr>
          <w:bCs/>
          <w:iCs/>
          <w:lang w:val="en-GB"/>
        </w:rPr>
      </w:pPr>
      <w:r>
        <w:rPr>
          <w:bCs/>
          <w:iCs/>
          <w:lang w:val="en-GB"/>
        </w:rPr>
        <w:tab/>
        <w:t xml:space="preserve">- </w:t>
      </w:r>
      <w:r>
        <w:rPr>
          <w:bCs/>
          <w:iCs/>
          <w:lang w:val="en-US"/>
        </w:rPr>
        <w:t>3rd Sydney Banking and Financial Stability Conference (SBFC 2019), 13-14 December 2019, Sydney.</w:t>
      </w:r>
    </w:p>
    <w:p w:rsidR="00C76783" w:rsidRDefault="00893656" w:rsidP="00D01E07">
      <w:pPr>
        <w:tabs>
          <w:tab w:val="left" w:pos="1701"/>
          <w:tab w:val="left" w:pos="1927"/>
        </w:tabs>
        <w:spacing w:line="360" w:lineRule="atLeast"/>
        <w:ind w:left="840" w:hanging="220"/>
        <w:rPr>
          <w:bCs/>
          <w:iCs/>
          <w:lang w:val="en-US"/>
        </w:rPr>
      </w:pPr>
      <w:r>
        <w:rPr>
          <w:iCs/>
          <w:lang w:val="en-US"/>
        </w:rPr>
        <w:tab/>
      </w:r>
      <w:r>
        <w:rPr>
          <w:bCs/>
          <w:iCs/>
          <w:lang w:val="en-US"/>
        </w:rPr>
        <w:t>- 32</w:t>
      </w:r>
      <w:r>
        <w:rPr>
          <w:bCs/>
          <w:iCs/>
          <w:vertAlign w:val="superscript"/>
          <w:lang w:val="en-US"/>
        </w:rPr>
        <w:t>nd</w:t>
      </w:r>
      <w:r>
        <w:rPr>
          <w:bCs/>
          <w:iCs/>
          <w:lang w:val="en-US"/>
        </w:rPr>
        <w:t xml:space="preserve"> Australasian Finance &amp; Banking Conference, 16-18 December 2019, Sydney.</w:t>
      </w:r>
    </w:p>
    <w:p w:rsidR="00BA61A5" w:rsidRPr="00BA61A5" w:rsidRDefault="00BA61A5" w:rsidP="00CD25CB">
      <w:pPr>
        <w:tabs>
          <w:tab w:val="left" w:pos="1701"/>
          <w:tab w:val="left" w:pos="1927"/>
        </w:tabs>
        <w:spacing w:line="360" w:lineRule="atLeast"/>
        <w:ind w:left="840" w:hanging="220"/>
        <w:rPr>
          <w:bCs/>
          <w:iCs/>
        </w:rPr>
      </w:pPr>
      <w:r>
        <w:rPr>
          <w:bCs/>
          <w:iCs/>
        </w:rPr>
        <w:t xml:space="preserve">• “ L'industrie bancaire de l'après crise : comment les banques vont-elles réagir aux </w:t>
      </w:r>
      <w:r>
        <w:rPr>
          <w:bCs/>
          <w:iCs/>
        </w:rPr>
        <w:br/>
        <w:t xml:space="preserve">contraintes réglementaires plus strictes ?, Table Ronde Innovation Économique et Sociale, </w:t>
      </w:r>
      <w:r>
        <w:rPr>
          <w:bCs/>
          <w:iCs/>
        </w:rPr>
        <w:lastRenderedPageBreak/>
        <w:t xml:space="preserve">Journées SHS, ANR,  Ministère de l’Enseignement Supérieur, de la Recherche et de l’Innovation, 24-25 février 2020, Paris. </w:t>
      </w:r>
    </w:p>
    <w:p w:rsidR="00CD25CB" w:rsidRDefault="00CD25CB" w:rsidP="00CD25CB">
      <w:pPr>
        <w:tabs>
          <w:tab w:val="left" w:pos="1701"/>
          <w:tab w:val="left" w:pos="1927"/>
        </w:tabs>
        <w:spacing w:line="360" w:lineRule="atLeast"/>
        <w:ind w:left="840" w:hanging="220"/>
        <w:rPr>
          <w:bCs/>
          <w:iCs/>
          <w:lang w:val="en-GB"/>
        </w:rPr>
      </w:pPr>
      <w:r>
        <w:rPr>
          <w:bCs/>
          <w:iCs/>
          <w:lang w:val="en-US"/>
        </w:rPr>
        <w:t>• “</w:t>
      </w:r>
      <w:r>
        <w:rPr>
          <w:bCs/>
          <w:i/>
          <w:iCs/>
          <w:lang w:val="en-GB"/>
        </w:rPr>
        <w:t>A note on regulatory responses to COVID-19 pandemic: Balancing banks’ solvency and contribution to recovery</w:t>
      </w:r>
      <w:r>
        <w:rPr>
          <w:bCs/>
          <w:iCs/>
          <w:lang w:val="en-GB"/>
        </w:rPr>
        <w:t xml:space="preserve">”, with </w:t>
      </w:r>
      <w:r>
        <w:rPr>
          <w:bCs/>
          <w:iCs/>
          <w:lang w:val="en-US"/>
        </w:rPr>
        <w:t xml:space="preserve">M. Bitar, </w:t>
      </w:r>
    </w:p>
    <w:p w:rsidR="00CD25CB" w:rsidRDefault="00CD25CB" w:rsidP="00CD25CB">
      <w:pPr>
        <w:tabs>
          <w:tab w:val="left" w:pos="1701"/>
          <w:tab w:val="left" w:pos="1927"/>
        </w:tabs>
        <w:spacing w:line="360" w:lineRule="atLeast"/>
        <w:ind w:left="840" w:hanging="220"/>
        <w:rPr>
          <w:bCs/>
          <w:iCs/>
          <w:lang w:val="en-US"/>
        </w:rPr>
      </w:pPr>
      <w:r>
        <w:rPr>
          <w:bCs/>
          <w:iCs/>
          <w:lang w:val="en-GB"/>
        </w:rPr>
        <w:tab/>
        <w:t xml:space="preserve">- </w:t>
      </w:r>
      <w:r>
        <w:rPr>
          <w:bCs/>
          <w:iCs/>
          <w:lang w:val="en-US"/>
        </w:rPr>
        <w:t>International Webinar Global Economy and Financial Sector Post Covid-19, July 6, 2020, Solo.</w:t>
      </w:r>
    </w:p>
    <w:p w:rsidR="00D96FAC" w:rsidRDefault="00CD25CB" w:rsidP="00D96FAC">
      <w:pPr>
        <w:tabs>
          <w:tab w:val="left" w:pos="1701"/>
          <w:tab w:val="left" w:pos="1927"/>
        </w:tabs>
        <w:spacing w:line="360" w:lineRule="atLeast"/>
        <w:ind w:left="840" w:hanging="220"/>
        <w:rPr>
          <w:bCs/>
          <w:iCs/>
          <w:lang w:val="en-US"/>
        </w:rPr>
      </w:pPr>
      <w:r>
        <w:rPr>
          <w:bCs/>
          <w:iCs/>
          <w:lang w:val="en-US"/>
        </w:rPr>
        <w:tab/>
        <w:t>- 30th EBES Conference Keynote session (online)</w:t>
      </w:r>
      <w:r>
        <w:rPr>
          <w:bCs/>
          <w:i/>
          <w:iCs/>
          <w:lang w:val="en-US"/>
        </w:rPr>
        <w:t>,</w:t>
      </w:r>
      <w:r>
        <w:rPr>
          <w:bCs/>
          <w:iCs/>
          <w:lang w:val="en-US"/>
        </w:rPr>
        <w:t xml:space="preserve"> 7 October 2020, Madrid</w:t>
      </w:r>
    </w:p>
    <w:p w:rsidR="00D96FAC" w:rsidRDefault="00D96FAC" w:rsidP="00D96FAC">
      <w:pPr>
        <w:tabs>
          <w:tab w:val="left" w:pos="1701"/>
          <w:tab w:val="left" w:pos="1927"/>
        </w:tabs>
        <w:spacing w:line="360" w:lineRule="atLeast"/>
        <w:ind w:left="840" w:hanging="220"/>
        <w:rPr>
          <w:bCs/>
          <w:iCs/>
          <w:lang w:val="en-US"/>
        </w:rPr>
      </w:pPr>
      <w:r>
        <w:rPr>
          <w:bCs/>
          <w:iCs/>
          <w:lang w:val="en-US"/>
        </w:rPr>
        <w:t>• “</w:t>
      </w:r>
      <w:r>
        <w:rPr>
          <w:bCs/>
          <w:i/>
          <w:iCs/>
          <w:lang w:val="en-US"/>
        </w:rPr>
        <w:t>Interacting bank capital and liquidity regulation</w:t>
      </w:r>
      <w:r>
        <w:rPr>
          <w:bCs/>
          <w:iCs/>
          <w:lang w:val="en-US"/>
        </w:rPr>
        <w:t>”</w:t>
      </w:r>
    </w:p>
    <w:p w:rsidR="00D96FAC" w:rsidRPr="00D96FAC" w:rsidRDefault="00D96FAC" w:rsidP="00D96FAC">
      <w:pPr>
        <w:tabs>
          <w:tab w:val="left" w:pos="1701"/>
          <w:tab w:val="left" w:pos="1927"/>
        </w:tabs>
        <w:spacing w:line="360" w:lineRule="atLeast"/>
        <w:ind w:left="840" w:hanging="220"/>
        <w:rPr>
          <w:bCs/>
          <w:iCs/>
          <w:lang w:val="en-US"/>
        </w:rPr>
      </w:pPr>
      <w:r>
        <w:rPr>
          <w:bCs/>
          <w:iCs/>
          <w:lang w:val="en-US"/>
        </w:rPr>
        <w:tab/>
        <w:t>- Keynote speaker, Indonesian Deposit Insurance Corporation Research Fair 2020 (online), 18 September, 2020, Jakarta.</w:t>
      </w:r>
    </w:p>
    <w:p w:rsidR="005E7BA1" w:rsidRPr="005E7BA1" w:rsidRDefault="005E7BA1" w:rsidP="005E7BA1">
      <w:pPr>
        <w:tabs>
          <w:tab w:val="left" w:pos="1701"/>
          <w:tab w:val="left" w:pos="1927"/>
        </w:tabs>
        <w:spacing w:line="360" w:lineRule="atLeast"/>
        <w:ind w:left="840" w:hanging="220"/>
        <w:rPr>
          <w:bCs/>
          <w:iCs/>
          <w:lang w:val="en-US"/>
        </w:rPr>
      </w:pPr>
      <w:r>
        <w:rPr>
          <w:bCs/>
          <w:iCs/>
          <w:lang w:val="en-US"/>
        </w:rPr>
        <w:t>• “</w:t>
      </w:r>
      <w:r>
        <w:rPr>
          <w:bCs/>
          <w:i/>
          <w:iCs/>
          <w:lang w:val="en-US"/>
        </w:rPr>
        <w:t xml:space="preserve">Economic uncertainty and bank stability: Conventional vs. Islamic banking”, </w:t>
      </w:r>
      <w:r>
        <w:rPr>
          <w:bCs/>
          <w:iCs/>
          <w:lang w:val="en-US"/>
        </w:rPr>
        <w:t xml:space="preserve">with M. H. Bilgin, E. Demir, and G. Ozturk Danisman, </w:t>
      </w:r>
    </w:p>
    <w:p w:rsidR="00CA660A" w:rsidRDefault="005E7BA1" w:rsidP="005E7BA1">
      <w:pPr>
        <w:tabs>
          <w:tab w:val="left" w:pos="1701"/>
          <w:tab w:val="left" w:pos="1927"/>
        </w:tabs>
        <w:spacing w:line="360" w:lineRule="atLeast"/>
        <w:ind w:left="840" w:hanging="220"/>
        <w:rPr>
          <w:bCs/>
          <w:iCs/>
          <w:lang w:val="en-US"/>
        </w:rPr>
      </w:pPr>
      <w:r>
        <w:rPr>
          <w:bCs/>
          <w:iCs/>
          <w:lang w:val="en-US"/>
        </w:rPr>
        <w:tab/>
        <w:t>- World Finance Banking Symposium (online), 5-6 December 2020, Riga.</w:t>
      </w:r>
    </w:p>
    <w:p w:rsidR="00CA660A" w:rsidRPr="00CA660A" w:rsidRDefault="00CA660A" w:rsidP="00CA660A">
      <w:pPr>
        <w:tabs>
          <w:tab w:val="left" w:pos="1701"/>
          <w:tab w:val="left" w:pos="1927"/>
        </w:tabs>
        <w:spacing w:line="360" w:lineRule="atLeast"/>
        <w:ind w:left="840" w:hanging="220"/>
        <w:rPr>
          <w:bCs/>
          <w:iCs/>
          <w:lang w:val="en-US"/>
        </w:rPr>
      </w:pPr>
      <w:r>
        <w:rPr>
          <w:bCs/>
          <w:iCs/>
          <w:lang w:val="en-US"/>
        </w:rPr>
        <w:tab/>
        <w:t>- 34th Eurasia Business and Economics Society (EBES) Conference (online), 6-8 January</w:t>
      </w:r>
    </w:p>
    <w:p w:rsidR="00CA660A" w:rsidRDefault="00CA660A" w:rsidP="00CA660A">
      <w:pPr>
        <w:tabs>
          <w:tab w:val="left" w:pos="1701"/>
          <w:tab w:val="left" w:pos="1927"/>
        </w:tabs>
        <w:spacing w:line="360" w:lineRule="atLeast"/>
        <w:ind w:left="840" w:hanging="220"/>
        <w:rPr>
          <w:bCs/>
          <w:iCs/>
          <w:lang w:val="en-US"/>
        </w:rPr>
      </w:pPr>
      <w:r>
        <w:rPr>
          <w:bCs/>
          <w:iCs/>
          <w:lang w:val="en-US"/>
        </w:rPr>
        <w:t xml:space="preserve"> 2021, Athens.</w:t>
      </w:r>
    </w:p>
    <w:p w:rsidR="00D03D03" w:rsidRPr="00D03D03" w:rsidRDefault="00D03D03" w:rsidP="00D03D03">
      <w:pPr>
        <w:tabs>
          <w:tab w:val="left" w:pos="1701"/>
          <w:tab w:val="left" w:pos="1927"/>
        </w:tabs>
        <w:spacing w:line="360" w:lineRule="atLeast"/>
        <w:ind w:left="840" w:hanging="220"/>
        <w:rPr>
          <w:bCs/>
          <w:iCs/>
          <w:lang w:val="en-US"/>
        </w:rPr>
      </w:pPr>
      <w:r>
        <w:rPr>
          <w:bCs/>
          <w:iCs/>
          <w:lang w:val="en-US"/>
        </w:rPr>
        <w:t>• “</w:t>
      </w:r>
      <w:r>
        <w:rPr>
          <w:bCs/>
          <w:i/>
          <w:iCs/>
          <w:lang w:val="en-US"/>
        </w:rPr>
        <w:t>Liquidity Regulation and Bank Lending</w:t>
      </w:r>
      <w:r>
        <w:rPr>
          <w:bCs/>
          <w:iCs/>
          <w:lang w:val="en-US"/>
        </w:rPr>
        <w:t xml:space="preserve">”, with F. Ananou, D. Chronopoulous and J.Wilson, </w:t>
      </w:r>
    </w:p>
    <w:p w:rsidR="00D03D03" w:rsidRPr="00D03D03" w:rsidRDefault="00D03D03" w:rsidP="00D03D03">
      <w:pPr>
        <w:tabs>
          <w:tab w:val="left" w:pos="1701"/>
          <w:tab w:val="left" w:pos="1927"/>
        </w:tabs>
        <w:spacing w:line="360" w:lineRule="atLeast"/>
        <w:ind w:left="840" w:hanging="220"/>
        <w:rPr>
          <w:bCs/>
          <w:iCs/>
          <w:lang w:val="en-US"/>
        </w:rPr>
      </w:pPr>
      <w:r>
        <w:rPr>
          <w:bCs/>
          <w:iCs/>
          <w:lang w:val="en-US"/>
        </w:rPr>
        <w:tab/>
        <w:t>- 2021 ANR CaLiBank Project Workshop, 25 January 2021, Limoges.</w:t>
      </w:r>
    </w:p>
    <w:p w:rsidR="00D03D03" w:rsidRPr="00D03D03" w:rsidRDefault="00D03D03" w:rsidP="00D03D03">
      <w:pPr>
        <w:tabs>
          <w:tab w:val="left" w:pos="1701"/>
          <w:tab w:val="left" w:pos="1927"/>
        </w:tabs>
        <w:spacing w:line="360" w:lineRule="atLeast"/>
        <w:ind w:left="840" w:hanging="220"/>
        <w:rPr>
          <w:bCs/>
          <w:iCs/>
          <w:lang w:val="en-US"/>
        </w:rPr>
      </w:pPr>
      <w:r>
        <w:rPr>
          <w:bCs/>
          <w:iCs/>
          <w:lang w:val="en-US"/>
        </w:rPr>
        <w:tab/>
        <w:t>- 2021 AAP/ANR CaLiBank Workshop, 25 May 2021, Limoges.</w:t>
      </w:r>
    </w:p>
    <w:p w:rsidR="00D03D03" w:rsidRDefault="00D03D03" w:rsidP="00CA660A">
      <w:pPr>
        <w:tabs>
          <w:tab w:val="left" w:pos="1701"/>
          <w:tab w:val="left" w:pos="1927"/>
        </w:tabs>
        <w:spacing w:line="360" w:lineRule="atLeast"/>
        <w:ind w:left="840" w:hanging="220"/>
        <w:rPr>
          <w:bCs/>
          <w:iCs/>
          <w:lang w:val="en-US"/>
        </w:rPr>
      </w:pPr>
      <w:r>
        <w:rPr>
          <w:bCs/>
          <w:iCs/>
          <w:lang w:val="en-US"/>
        </w:rPr>
        <w:tab/>
        <w:t>- 37th International Conference of the French Finance Association (online), 26-28 May 2021, Nantes.</w:t>
      </w:r>
    </w:p>
    <w:p w:rsidR="00DE4822" w:rsidRPr="00DE4822" w:rsidRDefault="00DE4822" w:rsidP="00DE4822">
      <w:pPr>
        <w:tabs>
          <w:tab w:val="left" w:pos="1701"/>
          <w:tab w:val="left" w:pos="1927"/>
        </w:tabs>
        <w:spacing w:line="360" w:lineRule="atLeast"/>
        <w:ind w:left="840" w:hanging="220"/>
        <w:rPr>
          <w:bCs/>
          <w:iCs/>
          <w:lang w:val="en-US"/>
        </w:rPr>
      </w:pPr>
      <w:r>
        <w:rPr>
          <w:bCs/>
          <w:iCs/>
          <w:lang w:val="en-US"/>
        </w:rPr>
        <w:t xml:space="preserve">• </w:t>
      </w:r>
      <w:r>
        <w:rPr>
          <w:bCs/>
          <w:i/>
          <w:iCs/>
          <w:lang w:val="en-US"/>
        </w:rPr>
        <w:t>“How Organizational and Geographic Complexity Influence Performance: Evidence from European Banks”</w:t>
      </w:r>
      <w:r>
        <w:rPr>
          <w:bCs/>
          <w:iCs/>
          <w:lang w:val="en-US"/>
        </w:rPr>
        <w:t xml:space="preserve">, with A. Pamen, A. Sauviat and G. Ozturk Danisman. </w:t>
      </w:r>
    </w:p>
    <w:p w:rsidR="00DE4822" w:rsidRPr="00DE4822" w:rsidRDefault="00DE4822" w:rsidP="00DE4822">
      <w:pPr>
        <w:tabs>
          <w:tab w:val="left" w:pos="1701"/>
          <w:tab w:val="left" w:pos="1927"/>
        </w:tabs>
        <w:spacing w:line="360" w:lineRule="atLeast"/>
        <w:ind w:left="840" w:hanging="220"/>
        <w:rPr>
          <w:bCs/>
          <w:iCs/>
          <w:lang w:val="en-US"/>
        </w:rPr>
      </w:pPr>
      <w:r>
        <w:rPr>
          <w:bCs/>
          <w:iCs/>
          <w:lang w:val="en-US"/>
        </w:rPr>
        <w:tab/>
        <w:t>- European Financial Management Association (EFMA), 2021 Annual Meeting, 30 June- 3, 2021 (online)</w:t>
      </w:r>
    </w:p>
    <w:p w:rsidR="00DE4822" w:rsidRPr="00DE4822" w:rsidRDefault="00DE4822" w:rsidP="00DE4822">
      <w:pPr>
        <w:tabs>
          <w:tab w:val="left" w:pos="1701"/>
          <w:tab w:val="left" w:pos="1927"/>
        </w:tabs>
        <w:spacing w:line="360" w:lineRule="atLeast"/>
        <w:ind w:left="840" w:hanging="220"/>
        <w:rPr>
          <w:b/>
          <w:bCs/>
          <w:iCs/>
          <w:lang w:val="en-US"/>
        </w:rPr>
      </w:pPr>
      <w:r>
        <w:rPr>
          <w:bCs/>
          <w:iCs/>
          <w:lang w:val="en-US"/>
        </w:rPr>
        <w:tab/>
        <w:t>- 10th International Conference of the Financial Engineering and Banking Society (IFABS), IAE Lille University School of Management, France, 30 September-3 October 3, 2021, Lille</w:t>
      </w:r>
      <w:r>
        <w:rPr>
          <w:b/>
          <w:bCs/>
          <w:iCs/>
          <w:lang w:val="en-US"/>
        </w:rPr>
        <w:t>.</w:t>
      </w:r>
    </w:p>
    <w:p w:rsidR="00DE4822" w:rsidRDefault="00DE4822" w:rsidP="00CA660A">
      <w:pPr>
        <w:tabs>
          <w:tab w:val="left" w:pos="1701"/>
          <w:tab w:val="left" w:pos="1927"/>
        </w:tabs>
        <w:spacing w:line="360" w:lineRule="atLeast"/>
        <w:ind w:left="840" w:hanging="220"/>
        <w:rPr>
          <w:bCs/>
          <w:iCs/>
          <w:lang w:val="en-US"/>
        </w:rPr>
      </w:pPr>
      <w:r>
        <w:rPr>
          <w:bCs/>
          <w:iCs/>
          <w:lang w:val="en-US"/>
        </w:rPr>
        <w:tab/>
        <w:t xml:space="preserve">- International Risk Management Conference, IRMC 2021, 1-2 October, 2021, Cagliari. </w:t>
      </w:r>
    </w:p>
    <w:p w:rsidR="003F6186" w:rsidRPr="003F6186" w:rsidRDefault="003F6186" w:rsidP="003F6186">
      <w:pPr>
        <w:tabs>
          <w:tab w:val="left" w:pos="1701"/>
          <w:tab w:val="left" w:pos="1927"/>
        </w:tabs>
        <w:spacing w:line="360" w:lineRule="atLeast"/>
        <w:ind w:left="840" w:hanging="220"/>
        <w:rPr>
          <w:bCs/>
          <w:iCs/>
          <w:lang w:val="en-GB"/>
        </w:rPr>
      </w:pPr>
      <w:r>
        <w:rPr>
          <w:bCs/>
          <w:iCs/>
          <w:lang w:val="en-GB"/>
        </w:rPr>
        <w:t>• "</w:t>
      </w:r>
      <w:r>
        <w:rPr>
          <w:bCs/>
          <w:i/>
          <w:iCs/>
          <w:lang w:val="en-US"/>
        </w:rPr>
        <w:t>Interbank network characteristics, monetary policy "News" and sensitivity of bank stock returns”</w:t>
      </w:r>
      <w:r>
        <w:rPr>
          <w:bCs/>
          <w:iCs/>
          <w:lang w:val="en-GB"/>
        </w:rPr>
        <w:t xml:space="preserve"> with I. Distinguin and A. Mahdavi-Ardekani,</w:t>
      </w:r>
    </w:p>
    <w:p w:rsidR="003F6186" w:rsidRPr="003F6186" w:rsidRDefault="003F6186" w:rsidP="00CA660A">
      <w:pPr>
        <w:tabs>
          <w:tab w:val="left" w:pos="1701"/>
          <w:tab w:val="left" w:pos="1927"/>
        </w:tabs>
        <w:spacing w:line="360" w:lineRule="atLeast"/>
        <w:ind w:left="840" w:hanging="220"/>
        <w:rPr>
          <w:bCs/>
          <w:iCs/>
          <w:lang w:val="en-GB"/>
        </w:rPr>
      </w:pPr>
      <w:r>
        <w:rPr>
          <w:bCs/>
          <w:iCs/>
          <w:lang w:val="en-GB"/>
        </w:rPr>
        <w:tab/>
        <w:t>- Western Economic Association International (WEAI), Virtual 96</w:t>
      </w:r>
      <w:r>
        <w:rPr>
          <w:bCs/>
          <w:iCs/>
          <w:vertAlign w:val="superscript"/>
          <w:lang w:val="en-GB"/>
        </w:rPr>
        <w:t>th</w:t>
      </w:r>
      <w:r>
        <w:rPr>
          <w:bCs/>
          <w:iCs/>
          <w:lang w:val="en-GB"/>
        </w:rPr>
        <w:t xml:space="preserve"> annual conference, June 27-July, 2021.</w:t>
      </w:r>
      <w:r>
        <w:rPr>
          <w:bCs/>
          <w:iCs/>
          <w:lang w:val="en-US"/>
        </w:rPr>
        <w:t xml:space="preserve"> </w:t>
      </w:r>
    </w:p>
    <w:p w:rsidR="000B3396" w:rsidRPr="000B3396" w:rsidRDefault="000B3396" w:rsidP="000B3396">
      <w:pPr>
        <w:tabs>
          <w:tab w:val="left" w:pos="1701"/>
          <w:tab w:val="left" w:pos="1927"/>
        </w:tabs>
        <w:spacing w:line="360" w:lineRule="atLeast"/>
        <w:ind w:left="840" w:hanging="220"/>
        <w:rPr>
          <w:bCs/>
          <w:iCs/>
          <w:lang w:val="en-US"/>
        </w:rPr>
      </w:pPr>
      <w:r>
        <w:rPr>
          <w:bCs/>
          <w:iCs/>
          <w:lang w:val="en-US"/>
        </w:rPr>
        <w:t>• “</w:t>
      </w:r>
      <w:r>
        <w:rPr>
          <w:bCs/>
          <w:i/>
          <w:iCs/>
          <w:lang w:val="en-US"/>
        </w:rPr>
        <w:t>Economic policy uncertainty and bank stability”</w:t>
      </w:r>
      <w:r>
        <w:rPr>
          <w:bCs/>
          <w:iCs/>
          <w:lang w:val="en-US"/>
        </w:rPr>
        <w:t xml:space="preserve">, with G. Ozturk Danisman, </w:t>
      </w:r>
    </w:p>
    <w:p w:rsidR="003F6186" w:rsidRDefault="000B3396" w:rsidP="000B3396">
      <w:pPr>
        <w:tabs>
          <w:tab w:val="left" w:pos="1701"/>
          <w:tab w:val="left" w:pos="1927"/>
        </w:tabs>
        <w:spacing w:line="360" w:lineRule="atLeast"/>
        <w:ind w:left="840" w:hanging="220"/>
        <w:rPr>
          <w:bCs/>
          <w:iCs/>
          <w:lang w:val="en-US"/>
        </w:rPr>
      </w:pPr>
      <w:r>
        <w:rPr>
          <w:bCs/>
          <w:iCs/>
          <w:lang w:val="en-US"/>
        </w:rPr>
        <w:tab/>
        <w:t>-Virtual 7</w:t>
      </w:r>
      <w:r>
        <w:rPr>
          <w:bCs/>
          <w:iCs/>
          <w:vertAlign w:val="superscript"/>
          <w:lang w:val="en-US"/>
        </w:rPr>
        <w:t>th</w:t>
      </w:r>
      <w:r>
        <w:rPr>
          <w:bCs/>
          <w:iCs/>
          <w:lang w:val="en-US"/>
        </w:rPr>
        <w:t xml:space="preserve"> Finance Workshop at Bilkent University, 10-11 June, 2021.</w:t>
      </w:r>
    </w:p>
    <w:p w:rsidR="004E246C" w:rsidRDefault="004E246C" w:rsidP="000B3396">
      <w:pPr>
        <w:tabs>
          <w:tab w:val="left" w:pos="1701"/>
          <w:tab w:val="left" w:pos="1927"/>
        </w:tabs>
        <w:spacing w:line="360" w:lineRule="atLeast"/>
        <w:ind w:left="840" w:hanging="220"/>
        <w:rPr>
          <w:bCs/>
          <w:iCs/>
          <w:lang w:val="en-US"/>
        </w:rPr>
      </w:pPr>
      <w:r>
        <w:rPr>
          <w:bCs/>
          <w:iCs/>
          <w:lang w:val="en-US"/>
        </w:rPr>
        <w:tab/>
        <w:t xml:space="preserve">- </w:t>
      </w:r>
      <w:r>
        <w:rPr>
          <w:bCs/>
          <w:iCs/>
          <w:lang w:val="en-GB"/>
        </w:rPr>
        <w:t>World Finance &amp; Banking Symposium,17-18 December, 2021, Budapest.</w:t>
      </w:r>
    </w:p>
    <w:p w:rsidR="009E4666" w:rsidRPr="009E4666" w:rsidRDefault="009E4666" w:rsidP="009E4666">
      <w:pPr>
        <w:tabs>
          <w:tab w:val="left" w:pos="1701"/>
          <w:tab w:val="left" w:pos="1927"/>
        </w:tabs>
        <w:spacing w:line="360" w:lineRule="atLeast"/>
        <w:ind w:left="840" w:hanging="220"/>
        <w:rPr>
          <w:bCs/>
          <w:iCs/>
          <w:lang w:val="en-US"/>
        </w:rPr>
      </w:pPr>
      <w:r>
        <w:rPr>
          <w:bCs/>
          <w:iCs/>
          <w:lang w:val="en-US"/>
        </w:rPr>
        <w:t xml:space="preserve">• </w:t>
      </w:r>
      <w:r>
        <w:rPr>
          <w:bCs/>
          <w:i/>
          <w:iCs/>
          <w:lang w:val="en-US"/>
        </w:rPr>
        <w:t>“The Sale of Failed Banks: The Characteristics of Acquirers – as Well as of the Acquired – Matter”</w:t>
      </w:r>
      <w:r>
        <w:rPr>
          <w:bCs/>
          <w:iCs/>
          <w:lang w:val="en-US"/>
        </w:rPr>
        <w:t>, with P. Abedifar and L.J. White,</w:t>
      </w:r>
    </w:p>
    <w:p w:rsidR="009E4666" w:rsidRDefault="009E4666" w:rsidP="009E4666">
      <w:pPr>
        <w:tabs>
          <w:tab w:val="left" w:pos="1701"/>
          <w:tab w:val="left" w:pos="1927"/>
        </w:tabs>
        <w:spacing w:line="360" w:lineRule="atLeast"/>
        <w:ind w:left="840" w:hanging="220"/>
        <w:rPr>
          <w:bCs/>
          <w:iCs/>
          <w:lang w:val="en-GB"/>
        </w:rPr>
      </w:pPr>
      <w:r>
        <w:rPr>
          <w:bCs/>
          <w:iCs/>
          <w:lang w:val="en-GB"/>
        </w:rPr>
        <w:tab/>
        <w:t>- Western Economic Association International (WEAI), Virtual 96</w:t>
      </w:r>
      <w:r>
        <w:rPr>
          <w:bCs/>
          <w:iCs/>
          <w:vertAlign w:val="superscript"/>
          <w:lang w:val="en-GB"/>
        </w:rPr>
        <w:t>th</w:t>
      </w:r>
      <w:r>
        <w:rPr>
          <w:bCs/>
          <w:iCs/>
          <w:lang w:val="en-GB"/>
        </w:rPr>
        <w:t xml:space="preserve"> annual conference, June 27-July, 2021.</w:t>
      </w:r>
    </w:p>
    <w:p w:rsidR="003C735A" w:rsidRPr="009E4666" w:rsidRDefault="003C735A" w:rsidP="009E4666">
      <w:pPr>
        <w:tabs>
          <w:tab w:val="left" w:pos="1701"/>
          <w:tab w:val="left" w:pos="1927"/>
        </w:tabs>
        <w:spacing w:line="360" w:lineRule="atLeast"/>
        <w:ind w:left="840" w:hanging="220"/>
        <w:rPr>
          <w:bCs/>
          <w:iCs/>
          <w:lang w:val="en-GB"/>
        </w:rPr>
      </w:pPr>
      <w:r>
        <w:rPr>
          <w:bCs/>
          <w:iCs/>
          <w:lang w:val="en-US"/>
        </w:rPr>
        <w:lastRenderedPageBreak/>
        <w:tab/>
        <w:t>- 2021 Vietnam Symposium in Banking and Finance (VSBF2021) 28-30 October 2021, Hanoi.</w:t>
      </w:r>
    </w:p>
    <w:p w:rsidR="009E4666" w:rsidRDefault="009E4666" w:rsidP="009E4666">
      <w:pPr>
        <w:tabs>
          <w:tab w:val="left" w:pos="1701"/>
          <w:tab w:val="left" w:pos="1927"/>
        </w:tabs>
        <w:spacing w:line="360" w:lineRule="atLeast"/>
        <w:ind w:left="840" w:hanging="220"/>
        <w:rPr>
          <w:bCs/>
          <w:iCs/>
          <w:lang w:val="en-US"/>
        </w:rPr>
      </w:pPr>
      <w:r>
        <w:rPr>
          <w:bCs/>
          <w:iCs/>
          <w:lang w:val="en-US"/>
        </w:rPr>
        <w:tab/>
        <w:t>- 34</w:t>
      </w:r>
      <w:r>
        <w:rPr>
          <w:bCs/>
          <w:iCs/>
          <w:vertAlign w:val="superscript"/>
          <w:lang w:val="en-US"/>
        </w:rPr>
        <w:t>th</w:t>
      </w:r>
      <w:r>
        <w:rPr>
          <w:bCs/>
          <w:iCs/>
          <w:lang w:val="en-US"/>
        </w:rPr>
        <w:t xml:space="preserve"> Australasian Finance &amp; Banking Conference, 15-17 December 2021, Sydney (online).</w:t>
      </w:r>
    </w:p>
    <w:p w:rsidR="00173FD9" w:rsidRDefault="00173FD9" w:rsidP="009E4666">
      <w:pPr>
        <w:tabs>
          <w:tab w:val="left" w:pos="1701"/>
          <w:tab w:val="left" w:pos="1927"/>
        </w:tabs>
        <w:spacing w:line="360" w:lineRule="atLeast"/>
        <w:ind w:left="840" w:hanging="220"/>
        <w:rPr>
          <w:bCs/>
          <w:iCs/>
          <w:lang w:val="en-US"/>
        </w:rPr>
      </w:pPr>
      <w:r>
        <w:rPr>
          <w:bCs/>
          <w:iCs/>
          <w:lang w:val="en-US"/>
        </w:rPr>
        <w:tab/>
        <w:t>- FDIC (Federal Deposit Insurance Corporation) Seminar series invitation, June 23, 2022, Washington.</w:t>
      </w:r>
    </w:p>
    <w:p w:rsidR="003830EC" w:rsidRDefault="003830EC" w:rsidP="00F0403D">
      <w:pPr>
        <w:tabs>
          <w:tab w:val="left" w:pos="1701"/>
          <w:tab w:val="left" w:pos="1927"/>
        </w:tabs>
        <w:spacing w:line="360" w:lineRule="atLeast"/>
        <w:ind w:left="840" w:hanging="220"/>
        <w:rPr>
          <w:bCs/>
          <w:iCs/>
          <w:lang w:val="en-US"/>
        </w:rPr>
      </w:pPr>
      <w:r>
        <w:rPr>
          <w:bCs/>
          <w:iCs/>
          <w:lang w:val="en-US"/>
        </w:rPr>
        <w:tab/>
        <w:t>- 11</w:t>
      </w:r>
      <w:r>
        <w:rPr>
          <w:bCs/>
          <w:iCs/>
          <w:vertAlign w:val="superscript"/>
          <w:lang w:val="en-US"/>
        </w:rPr>
        <w:t>th</w:t>
      </w:r>
      <w:r>
        <w:rPr>
          <w:bCs/>
          <w:iCs/>
          <w:lang w:val="en-US"/>
        </w:rPr>
        <w:t xml:space="preserve"> International Conference of the Financial Engineering and Banking Society (FEBS), 10-12 June 2022, Portsmouth.</w:t>
      </w:r>
    </w:p>
    <w:p w:rsidR="00B154EF" w:rsidRDefault="00B154EF" w:rsidP="00F0403D">
      <w:pPr>
        <w:tabs>
          <w:tab w:val="left" w:pos="1701"/>
          <w:tab w:val="left" w:pos="1927"/>
        </w:tabs>
        <w:spacing w:line="360" w:lineRule="atLeast"/>
        <w:ind w:left="840" w:hanging="220"/>
        <w:rPr>
          <w:bCs/>
          <w:iCs/>
          <w:lang w:val="en-US"/>
        </w:rPr>
      </w:pPr>
      <w:r>
        <w:rPr>
          <w:bCs/>
          <w:iCs/>
          <w:lang w:val="en-US"/>
        </w:rPr>
        <w:tab/>
        <w:t>- 2022 Southern Finance Association (SFA) Annual Meeting, 16-19 November 2022, Key West.</w:t>
      </w:r>
    </w:p>
    <w:p w:rsidR="00A92EB1" w:rsidRDefault="00A92EB1" w:rsidP="00F0403D">
      <w:pPr>
        <w:tabs>
          <w:tab w:val="left" w:pos="1701"/>
          <w:tab w:val="left" w:pos="1927"/>
        </w:tabs>
        <w:spacing w:line="360" w:lineRule="atLeast"/>
        <w:ind w:left="840" w:hanging="220"/>
        <w:rPr>
          <w:bCs/>
          <w:iCs/>
          <w:lang w:val="en-US"/>
        </w:rPr>
      </w:pPr>
      <w:r>
        <w:rPr>
          <w:bCs/>
          <w:iCs/>
          <w:lang w:val="en-US"/>
        </w:rPr>
        <w:tab/>
        <w:t>- SEA 92</w:t>
      </w:r>
      <w:r>
        <w:rPr>
          <w:bCs/>
          <w:iCs/>
          <w:vertAlign w:val="superscript"/>
          <w:lang w:val="en-US"/>
        </w:rPr>
        <w:t>nd</w:t>
      </w:r>
      <w:r>
        <w:rPr>
          <w:bCs/>
          <w:iCs/>
          <w:lang w:val="en-US"/>
        </w:rPr>
        <w:t> Annual Meeting, 19-21 November 2022, Fort Lauderdale, FL.</w:t>
      </w:r>
    </w:p>
    <w:p w:rsidR="006177E5" w:rsidRPr="009E4666" w:rsidRDefault="006177E5" w:rsidP="00F0403D">
      <w:pPr>
        <w:tabs>
          <w:tab w:val="left" w:pos="1701"/>
          <w:tab w:val="left" w:pos="1927"/>
        </w:tabs>
        <w:spacing w:line="360" w:lineRule="atLeast"/>
        <w:ind w:left="840" w:hanging="220"/>
        <w:rPr>
          <w:bCs/>
          <w:iCs/>
          <w:lang w:val="en-US"/>
        </w:rPr>
      </w:pPr>
      <w:r>
        <w:rPr>
          <w:bCs/>
          <w:iCs/>
          <w:lang w:val="en-US"/>
        </w:rPr>
        <w:tab/>
        <w:t xml:space="preserve">- 96th International Atlantic Economic Conference, 5-8 October 2023, Philadelphia. </w:t>
      </w:r>
    </w:p>
    <w:p w:rsidR="009E4666" w:rsidRPr="009E4666" w:rsidRDefault="009E4666" w:rsidP="009E4666">
      <w:pPr>
        <w:tabs>
          <w:tab w:val="left" w:pos="1701"/>
          <w:tab w:val="left" w:pos="1927"/>
        </w:tabs>
        <w:spacing w:line="360" w:lineRule="atLeast"/>
        <w:ind w:left="840" w:hanging="220"/>
        <w:rPr>
          <w:bCs/>
          <w:iCs/>
          <w:lang w:val="en-US"/>
        </w:rPr>
      </w:pPr>
      <w:r>
        <w:rPr>
          <w:bCs/>
          <w:iCs/>
          <w:lang w:val="en-US"/>
        </w:rPr>
        <w:t xml:space="preserve">• </w:t>
      </w:r>
      <w:r>
        <w:rPr>
          <w:bCs/>
          <w:i/>
          <w:iCs/>
          <w:lang w:val="en-US"/>
        </w:rPr>
        <w:t>“Liquidity Regulation and Bank Risk”</w:t>
      </w:r>
      <w:r>
        <w:rPr>
          <w:bCs/>
          <w:iCs/>
          <w:lang w:val="en-US"/>
        </w:rPr>
        <w:t>, with F. Ananou, D. Chronopoulous and J.Wilson,</w:t>
      </w:r>
    </w:p>
    <w:p w:rsidR="009E4666" w:rsidRDefault="009E4666" w:rsidP="009E4666">
      <w:pPr>
        <w:tabs>
          <w:tab w:val="left" w:pos="1701"/>
          <w:tab w:val="left" w:pos="1927"/>
        </w:tabs>
        <w:spacing w:line="360" w:lineRule="atLeast"/>
        <w:ind w:left="840" w:hanging="220"/>
        <w:rPr>
          <w:bCs/>
          <w:iCs/>
          <w:lang w:val="en-US"/>
        </w:rPr>
      </w:pPr>
      <w:r>
        <w:rPr>
          <w:bCs/>
          <w:iCs/>
          <w:lang w:val="en-US"/>
        </w:rPr>
        <w:tab/>
        <w:t>- 34</w:t>
      </w:r>
      <w:r>
        <w:rPr>
          <w:bCs/>
          <w:iCs/>
          <w:vertAlign w:val="superscript"/>
          <w:lang w:val="en-US"/>
        </w:rPr>
        <w:t>th</w:t>
      </w:r>
      <w:r>
        <w:rPr>
          <w:bCs/>
          <w:iCs/>
          <w:lang w:val="en-US"/>
        </w:rPr>
        <w:t xml:space="preserve"> Australasian Finance &amp; Banking Conference, 15-17 December 2021, Sydney (online).</w:t>
      </w:r>
    </w:p>
    <w:p w:rsidR="00FF0775" w:rsidRPr="00FF0775" w:rsidRDefault="00FF0775" w:rsidP="00FF0775">
      <w:pPr>
        <w:tabs>
          <w:tab w:val="left" w:pos="1701"/>
          <w:tab w:val="left" w:pos="1927"/>
        </w:tabs>
        <w:spacing w:line="360" w:lineRule="atLeast"/>
        <w:ind w:left="840" w:hanging="220"/>
        <w:rPr>
          <w:bCs/>
          <w:iCs/>
          <w:lang w:val="en-US"/>
        </w:rPr>
      </w:pPr>
      <w:r>
        <w:rPr>
          <w:bCs/>
          <w:iCs/>
          <w:lang w:val="en-US"/>
        </w:rPr>
        <w:t xml:space="preserve">• </w:t>
      </w:r>
      <w:r>
        <w:rPr>
          <w:bCs/>
          <w:i/>
          <w:iCs/>
          <w:lang w:val="en-US"/>
        </w:rPr>
        <w:t>“Banks’ risk clustering using k-means: a method based on size and individual &amp; systemic risks”,</w:t>
      </w:r>
      <w:r>
        <w:rPr>
          <w:bCs/>
          <w:iCs/>
          <w:lang w:val="en-US"/>
        </w:rPr>
        <w:t xml:space="preserve"> with M. Mercadier, P. Armand and J.P. Lardy,</w:t>
      </w:r>
    </w:p>
    <w:p w:rsidR="00FF0775" w:rsidRDefault="00F978A9" w:rsidP="00FF0775">
      <w:pPr>
        <w:tabs>
          <w:tab w:val="left" w:pos="1701"/>
          <w:tab w:val="left" w:pos="1927"/>
        </w:tabs>
        <w:spacing w:line="360" w:lineRule="atLeast"/>
        <w:ind w:left="840" w:hanging="220"/>
        <w:rPr>
          <w:bCs/>
          <w:iCs/>
          <w:lang w:val="en-US"/>
        </w:rPr>
      </w:pPr>
      <w:r>
        <w:rPr>
          <w:bCs/>
          <w:iCs/>
          <w:lang w:val="en-US"/>
        </w:rPr>
        <w:tab/>
        <w:t>- 11</w:t>
      </w:r>
      <w:r>
        <w:rPr>
          <w:bCs/>
          <w:iCs/>
          <w:vertAlign w:val="superscript"/>
          <w:lang w:val="en-US"/>
        </w:rPr>
        <w:t>th</w:t>
      </w:r>
      <w:r>
        <w:rPr>
          <w:bCs/>
          <w:iCs/>
          <w:lang w:val="en-US"/>
        </w:rPr>
        <w:t xml:space="preserve"> International Conference of the Financial Engineering and Banking Society (FEBS), 10-12 June 2022, Portsmouth.</w:t>
      </w:r>
    </w:p>
    <w:p w:rsidR="00F978A9" w:rsidRDefault="00F978A9" w:rsidP="00FF0775">
      <w:pPr>
        <w:tabs>
          <w:tab w:val="left" w:pos="1701"/>
          <w:tab w:val="left" w:pos="1927"/>
        </w:tabs>
        <w:spacing w:line="360" w:lineRule="atLeast"/>
        <w:ind w:left="840" w:hanging="220"/>
        <w:rPr>
          <w:bCs/>
          <w:iCs/>
          <w:lang w:val="en-US"/>
        </w:rPr>
      </w:pPr>
      <w:r>
        <w:rPr>
          <w:bCs/>
          <w:iCs/>
          <w:lang w:val="en-US"/>
        </w:rPr>
        <w:tab/>
        <w:t>- 2022 Vietnam Symposium in Banking and Finance (VSBF2022), 27-29 October 2022, Hanoi.</w:t>
      </w:r>
    </w:p>
    <w:p w:rsidR="006177E5" w:rsidRDefault="006177E5" w:rsidP="00FF0775">
      <w:pPr>
        <w:tabs>
          <w:tab w:val="left" w:pos="1701"/>
          <w:tab w:val="left" w:pos="1927"/>
        </w:tabs>
        <w:spacing w:line="360" w:lineRule="atLeast"/>
        <w:ind w:left="840" w:hanging="220"/>
        <w:rPr>
          <w:bCs/>
          <w:i/>
          <w:iCs/>
          <w:lang w:val="en-US"/>
        </w:rPr>
      </w:pPr>
      <w:r>
        <w:rPr>
          <w:bCs/>
          <w:iCs/>
          <w:lang w:val="en-US"/>
        </w:rPr>
        <w:t xml:space="preserve">• </w:t>
      </w:r>
      <w:r>
        <w:rPr>
          <w:bCs/>
          <w:i/>
          <w:iCs/>
          <w:lang w:val="en-US"/>
        </w:rPr>
        <w:t>“Bank Stability: Liquidity and Capital matter…but also Institutions, Inclusiveness and Sustainability”</w:t>
      </w:r>
    </w:p>
    <w:p w:rsidR="006177E5" w:rsidRPr="00FF0775" w:rsidRDefault="006177E5" w:rsidP="00FF0775">
      <w:pPr>
        <w:tabs>
          <w:tab w:val="left" w:pos="1701"/>
          <w:tab w:val="left" w:pos="1927"/>
        </w:tabs>
        <w:spacing w:line="360" w:lineRule="atLeast"/>
        <w:ind w:left="840" w:hanging="220"/>
        <w:rPr>
          <w:bCs/>
          <w:iCs/>
          <w:lang w:val="en-US"/>
        </w:rPr>
      </w:pPr>
      <w:r>
        <w:rPr>
          <w:bCs/>
          <w:iCs/>
          <w:lang w:val="en-US"/>
        </w:rPr>
        <w:tab/>
        <w:t>- Keynote Speaker, IFBBE Conference, 5-6 September 2022, Kuala Lumpur.</w:t>
      </w:r>
    </w:p>
    <w:p w:rsidR="00996536" w:rsidRPr="00996536" w:rsidRDefault="00996536" w:rsidP="00996536">
      <w:pPr>
        <w:tabs>
          <w:tab w:val="left" w:pos="1701"/>
          <w:tab w:val="left" w:pos="1927"/>
        </w:tabs>
        <w:spacing w:line="360" w:lineRule="atLeast"/>
        <w:ind w:left="840" w:hanging="220"/>
        <w:rPr>
          <w:bCs/>
          <w:iCs/>
          <w:lang w:val="en-US"/>
        </w:rPr>
      </w:pPr>
      <w:r>
        <w:rPr>
          <w:bCs/>
          <w:iCs/>
          <w:lang w:val="en-US"/>
        </w:rPr>
        <w:t xml:space="preserve">• </w:t>
      </w:r>
      <w:r>
        <w:rPr>
          <w:bCs/>
          <w:i/>
          <w:iCs/>
          <w:lang w:val="en-US"/>
        </w:rPr>
        <w:t xml:space="preserve">“ESG activity and bank lending during financial crises”, </w:t>
      </w:r>
      <w:r>
        <w:rPr>
          <w:bCs/>
          <w:iCs/>
          <w:lang w:val="en-US"/>
        </w:rPr>
        <w:t>with G. Ozturk Danisman,</w:t>
      </w:r>
    </w:p>
    <w:p w:rsidR="007076B5" w:rsidRDefault="00996536" w:rsidP="00996536">
      <w:pPr>
        <w:tabs>
          <w:tab w:val="left" w:pos="1701"/>
          <w:tab w:val="left" w:pos="1927"/>
        </w:tabs>
        <w:spacing w:line="360" w:lineRule="atLeast"/>
        <w:ind w:left="840" w:hanging="220"/>
        <w:rPr>
          <w:bCs/>
          <w:iCs/>
          <w:lang w:val="en-US"/>
        </w:rPr>
      </w:pPr>
      <w:r>
        <w:rPr>
          <w:bCs/>
          <w:iCs/>
          <w:lang w:val="en-US"/>
        </w:rPr>
        <w:tab/>
        <w:t>- International Risk Management Conference 2022, 4-5 July, 2022, Bari.</w:t>
      </w:r>
    </w:p>
    <w:p w:rsidR="00C41248" w:rsidRDefault="00C41248" w:rsidP="00996536">
      <w:pPr>
        <w:tabs>
          <w:tab w:val="left" w:pos="1701"/>
          <w:tab w:val="left" w:pos="1927"/>
        </w:tabs>
        <w:spacing w:line="360" w:lineRule="atLeast"/>
        <w:ind w:left="840" w:hanging="220"/>
        <w:rPr>
          <w:bCs/>
          <w:iCs/>
          <w:lang w:val="en-US"/>
        </w:rPr>
      </w:pPr>
      <w:r>
        <w:rPr>
          <w:bCs/>
          <w:iCs/>
          <w:lang w:val="en-US"/>
        </w:rPr>
        <w:tab/>
        <w:t>- 2022 Vietnam Symposium in Banking and Finance (VSBF2022), 27-29 October 2022, Hanoi.</w:t>
      </w:r>
    </w:p>
    <w:p w:rsidR="00C41248" w:rsidRDefault="00C41248" w:rsidP="00996536">
      <w:pPr>
        <w:tabs>
          <w:tab w:val="left" w:pos="1701"/>
          <w:tab w:val="left" w:pos="1927"/>
        </w:tabs>
        <w:spacing w:line="360" w:lineRule="atLeast"/>
        <w:ind w:left="840" w:hanging="220"/>
        <w:rPr>
          <w:bCs/>
          <w:iCs/>
          <w:lang w:val="en-US"/>
        </w:rPr>
      </w:pPr>
      <w:r>
        <w:rPr>
          <w:bCs/>
          <w:iCs/>
          <w:lang w:val="en-US"/>
        </w:rPr>
        <w:tab/>
        <w:t>- 35</w:t>
      </w:r>
      <w:r>
        <w:rPr>
          <w:bCs/>
          <w:iCs/>
          <w:vertAlign w:val="superscript"/>
          <w:lang w:val="en-US"/>
        </w:rPr>
        <w:t>th</w:t>
      </w:r>
      <w:r>
        <w:rPr>
          <w:bCs/>
          <w:iCs/>
          <w:lang w:val="en-US"/>
        </w:rPr>
        <w:t xml:space="preserve"> Australasian Finance &amp; Banking Conference, 14-16 December 2022, Sydney.</w:t>
      </w:r>
    </w:p>
    <w:p w:rsidR="001F448E" w:rsidRDefault="001F448E" w:rsidP="00996536">
      <w:pPr>
        <w:tabs>
          <w:tab w:val="left" w:pos="1701"/>
          <w:tab w:val="left" w:pos="1927"/>
        </w:tabs>
        <w:spacing w:line="360" w:lineRule="atLeast"/>
        <w:ind w:left="840" w:hanging="220"/>
        <w:rPr>
          <w:bCs/>
          <w:iCs/>
          <w:lang w:val="en-GB"/>
        </w:rPr>
      </w:pPr>
      <w:r>
        <w:rPr>
          <w:bCs/>
          <w:iCs/>
          <w:lang w:val="en-US"/>
        </w:rPr>
        <w:tab/>
        <w:t>- 62</w:t>
      </w:r>
      <w:r>
        <w:rPr>
          <w:bCs/>
          <w:iCs/>
          <w:vertAlign w:val="superscript"/>
          <w:lang w:val="en-US"/>
        </w:rPr>
        <w:t>nd</w:t>
      </w:r>
      <w:r>
        <w:rPr>
          <w:bCs/>
          <w:iCs/>
          <w:lang w:val="en-US"/>
        </w:rPr>
        <w:t xml:space="preserve"> </w:t>
      </w:r>
      <w:r>
        <w:rPr>
          <w:bCs/>
          <w:iCs/>
          <w:lang w:val="en-GB"/>
        </w:rPr>
        <w:t>Southwestern Finance Association Annual Meeting, 8-11 March 2023, Houston.</w:t>
      </w:r>
    </w:p>
    <w:p w:rsidR="00D7061D" w:rsidRDefault="00D7061D" w:rsidP="00996536">
      <w:pPr>
        <w:tabs>
          <w:tab w:val="left" w:pos="1701"/>
          <w:tab w:val="left" w:pos="1927"/>
        </w:tabs>
        <w:spacing w:line="360" w:lineRule="atLeast"/>
        <w:ind w:left="840" w:hanging="220"/>
        <w:rPr>
          <w:bCs/>
          <w:iCs/>
          <w:lang w:val="en-US"/>
        </w:rPr>
      </w:pPr>
      <w:r>
        <w:rPr>
          <w:bCs/>
          <w:iCs/>
          <w:lang w:val="en-US"/>
        </w:rPr>
        <w:tab/>
        <w:t>- World Finance Conference, 2-4 August, 2023, Kristiansand.</w:t>
      </w:r>
    </w:p>
    <w:p w:rsidR="00D7061D" w:rsidRPr="00D7061D" w:rsidRDefault="00D7061D" w:rsidP="00D7061D">
      <w:pPr>
        <w:tabs>
          <w:tab w:val="left" w:pos="1701"/>
          <w:tab w:val="left" w:pos="1927"/>
        </w:tabs>
        <w:spacing w:line="360" w:lineRule="atLeast"/>
        <w:ind w:left="840" w:hanging="220"/>
        <w:rPr>
          <w:bCs/>
          <w:iCs/>
          <w:lang w:val="en-US"/>
        </w:rPr>
      </w:pPr>
      <w:r>
        <w:rPr>
          <w:bCs/>
          <w:iCs/>
          <w:lang w:val="en-US"/>
        </w:rPr>
        <w:t xml:space="preserve">• </w:t>
      </w:r>
      <w:r>
        <w:rPr>
          <w:bCs/>
          <w:i/>
          <w:iCs/>
          <w:lang w:val="en-US"/>
        </w:rPr>
        <w:t>“Liquidity Regulation and Bank Risk”</w:t>
      </w:r>
      <w:r>
        <w:rPr>
          <w:bCs/>
          <w:iCs/>
          <w:lang w:val="en-US"/>
        </w:rPr>
        <w:t>, with F. Ananou, D. Chronopoulous and J.Wilson,</w:t>
      </w:r>
    </w:p>
    <w:p w:rsidR="006177E5" w:rsidRPr="00D7061D" w:rsidRDefault="00D7061D" w:rsidP="00D7061D">
      <w:pPr>
        <w:tabs>
          <w:tab w:val="left" w:pos="1701"/>
          <w:tab w:val="left" w:pos="1927"/>
        </w:tabs>
        <w:spacing w:line="360" w:lineRule="atLeast"/>
        <w:ind w:left="840" w:hanging="220"/>
        <w:rPr>
          <w:bCs/>
          <w:iCs/>
          <w:lang w:val="en-US"/>
        </w:rPr>
      </w:pPr>
      <w:r>
        <w:rPr>
          <w:bCs/>
          <w:iCs/>
          <w:lang w:val="en-US"/>
        </w:rPr>
        <w:tab/>
        <w:t xml:space="preserve">- </w:t>
      </w:r>
      <w:r>
        <w:rPr>
          <w:bCs/>
          <w:lang w:val="en-US"/>
        </w:rPr>
        <w:t>International Risk Management Conference, IRMC 2023, 6-7 July, 2023, Florence</w:t>
      </w:r>
      <w:r>
        <w:rPr>
          <w:bCs/>
          <w:iCs/>
          <w:lang w:val="en-US"/>
        </w:rPr>
        <w:t>.</w:t>
      </w:r>
    </w:p>
    <w:p w:rsidR="00D7061D" w:rsidRDefault="006177E5" w:rsidP="00996536">
      <w:pPr>
        <w:tabs>
          <w:tab w:val="left" w:pos="1701"/>
          <w:tab w:val="left" w:pos="1927"/>
        </w:tabs>
        <w:spacing w:line="360" w:lineRule="atLeast"/>
        <w:ind w:left="840" w:hanging="220"/>
        <w:rPr>
          <w:bCs/>
          <w:iCs/>
          <w:lang w:val="en-US"/>
        </w:rPr>
      </w:pPr>
      <w:r>
        <w:rPr>
          <w:bCs/>
          <w:iCs/>
          <w:lang w:val="en-US"/>
        </w:rPr>
        <w:t>• “</w:t>
      </w:r>
      <w:r>
        <w:rPr>
          <w:bCs/>
          <w:i/>
          <w:iCs/>
          <w:lang w:val="en-US"/>
        </w:rPr>
        <w:t>Challenges for Bank Stability, Economic Resilience and Growth: Institutions, Fintech, Inclusiveness and Stability</w:t>
      </w:r>
      <w:r>
        <w:rPr>
          <w:bCs/>
          <w:iCs/>
          <w:lang w:val="en-US"/>
        </w:rPr>
        <w:t>”</w:t>
      </w:r>
    </w:p>
    <w:p w:rsidR="006177E5" w:rsidRDefault="006177E5" w:rsidP="00996536">
      <w:pPr>
        <w:tabs>
          <w:tab w:val="left" w:pos="1701"/>
          <w:tab w:val="left" w:pos="1927"/>
        </w:tabs>
        <w:spacing w:line="360" w:lineRule="atLeast"/>
        <w:ind w:left="840" w:hanging="220"/>
        <w:rPr>
          <w:bCs/>
          <w:lang w:val="en-US"/>
        </w:rPr>
      </w:pPr>
      <w:r>
        <w:rPr>
          <w:bCs/>
          <w:iCs/>
          <w:lang w:val="en-US"/>
        </w:rPr>
        <w:tab/>
        <w:t xml:space="preserve">- Invited Distinguished Speaker, </w:t>
      </w:r>
      <w:r>
        <w:rPr>
          <w:bCs/>
          <w:lang w:val="en-US"/>
        </w:rPr>
        <w:t>17th Bulletin of Monetary Economics and Banking (BMEB) International Conference, Central Bank of Indonesia, 16 September 2023, Bengkulu.</w:t>
      </w:r>
    </w:p>
    <w:p w:rsidR="00AA4A85" w:rsidRPr="00AA4A85" w:rsidRDefault="00AA4A85" w:rsidP="00AA4A85">
      <w:pPr>
        <w:tabs>
          <w:tab w:val="left" w:pos="1701"/>
          <w:tab w:val="left" w:pos="1927"/>
        </w:tabs>
        <w:spacing w:line="360" w:lineRule="atLeast"/>
        <w:ind w:left="840" w:hanging="220"/>
        <w:rPr>
          <w:bCs/>
          <w:iCs/>
          <w:lang w:val="en-US"/>
        </w:rPr>
      </w:pPr>
      <w:r>
        <w:rPr>
          <w:bCs/>
          <w:iCs/>
          <w:lang w:val="en-US"/>
        </w:rPr>
        <w:t xml:space="preserve">• </w:t>
      </w:r>
      <w:r>
        <w:rPr>
          <w:bCs/>
          <w:i/>
          <w:iCs/>
          <w:lang w:val="en-US"/>
        </w:rPr>
        <w:t>“Liquidity shock and bank risk”</w:t>
      </w:r>
      <w:r>
        <w:rPr>
          <w:bCs/>
          <w:iCs/>
          <w:lang w:val="en-US"/>
        </w:rPr>
        <w:t>, with I. Distinguin and O. Labchara,</w:t>
      </w:r>
    </w:p>
    <w:p w:rsidR="00AA4A85" w:rsidRPr="00AA4A85" w:rsidRDefault="00AA4A85" w:rsidP="00AA4A85">
      <w:pPr>
        <w:tabs>
          <w:tab w:val="left" w:pos="1701"/>
          <w:tab w:val="left" w:pos="1927"/>
        </w:tabs>
        <w:spacing w:line="360" w:lineRule="atLeast"/>
        <w:ind w:left="840" w:hanging="220"/>
        <w:rPr>
          <w:bCs/>
          <w:iCs/>
          <w:lang w:val="en-US"/>
        </w:rPr>
      </w:pPr>
      <w:r>
        <w:rPr>
          <w:bCs/>
          <w:iCs/>
          <w:lang w:val="en-US"/>
        </w:rPr>
        <w:lastRenderedPageBreak/>
        <w:tab/>
        <w:t>-2023 International Conference in Finance, Banking and Accounting, ICFBA, 8-9 September 2023, Montpellier.</w:t>
      </w:r>
    </w:p>
    <w:p w:rsidR="00AA4A85" w:rsidRPr="00AA4A85" w:rsidRDefault="00AA4A85" w:rsidP="00AA4A85">
      <w:pPr>
        <w:tabs>
          <w:tab w:val="left" w:pos="1701"/>
          <w:tab w:val="left" w:pos="1927"/>
        </w:tabs>
        <w:spacing w:line="360" w:lineRule="atLeast"/>
        <w:ind w:left="840" w:hanging="220"/>
        <w:rPr>
          <w:bCs/>
          <w:iCs/>
          <w:lang w:val="en-US"/>
        </w:rPr>
      </w:pPr>
      <w:r>
        <w:rPr>
          <w:bCs/>
          <w:iCs/>
          <w:lang w:val="en-US"/>
        </w:rPr>
        <w:tab/>
        <w:t xml:space="preserve">- 64th Annual Conference, Italian Economic Association, 19-21 October 2023, l’Aquila (presented by co-author) </w:t>
      </w:r>
    </w:p>
    <w:p w:rsidR="00AA4A85" w:rsidRPr="00AA4A85" w:rsidRDefault="00AA4A85" w:rsidP="00AA4A85">
      <w:pPr>
        <w:tabs>
          <w:tab w:val="left" w:pos="1701"/>
          <w:tab w:val="left" w:pos="1927"/>
        </w:tabs>
        <w:spacing w:line="360" w:lineRule="atLeast"/>
        <w:ind w:left="840" w:hanging="220"/>
        <w:rPr>
          <w:bCs/>
          <w:iCs/>
          <w:lang w:val="en-US"/>
        </w:rPr>
      </w:pPr>
      <w:r>
        <w:rPr>
          <w:bCs/>
          <w:iCs/>
          <w:lang w:val="en-US"/>
        </w:rPr>
        <w:tab/>
        <w:t>- 2023 Vietnam Symposium in Banking and Finance (VSBF2023), 26-28 October 2023, Hanoi.</w:t>
      </w:r>
    </w:p>
    <w:p w:rsidR="00AA4A85" w:rsidRDefault="00AA4A85" w:rsidP="00AA4A85">
      <w:pPr>
        <w:tabs>
          <w:tab w:val="left" w:pos="1701"/>
          <w:tab w:val="left" w:pos="1927"/>
        </w:tabs>
        <w:spacing w:line="360" w:lineRule="atLeast"/>
        <w:ind w:left="840" w:hanging="220"/>
        <w:rPr>
          <w:bCs/>
          <w:iCs/>
          <w:lang w:val="en-US"/>
        </w:rPr>
      </w:pPr>
      <w:r>
        <w:rPr>
          <w:bCs/>
          <w:iCs/>
          <w:lang w:val="en-US"/>
        </w:rPr>
        <w:tab/>
        <w:t>- 36</w:t>
      </w:r>
      <w:r>
        <w:rPr>
          <w:bCs/>
          <w:iCs/>
          <w:vertAlign w:val="superscript"/>
          <w:lang w:val="en-US"/>
        </w:rPr>
        <w:t>th</w:t>
      </w:r>
      <w:r>
        <w:rPr>
          <w:bCs/>
          <w:iCs/>
          <w:lang w:val="en-US"/>
        </w:rPr>
        <w:t xml:space="preserve"> Australasian Finance &amp; Banking Conference, 13-15 December 2023, Sydney.</w:t>
      </w:r>
    </w:p>
    <w:p w:rsidR="00180333" w:rsidRDefault="00180333" w:rsidP="00AA4A85">
      <w:pPr>
        <w:tabs>
          <w:tab w:val="left" w:pos="1701"/>
          <w:tab w:val="left" w:pos="1927"/>
        </w:tabs>
        <w:spacing w:line="360" w:lineRule="atLeast"/>
        <w:ind w:left="840" w:hanging="220"/>
        <w:rPr>
          <w:bCs/>
          <w:iCs/>
          <w:lang w:val="en-US"/>
        </w:rPr>
      </w:pPr>
      <w:r>
        <w:rPr>
          <w:bCs/>
          <w:iCs/>
          <w:lang w:val="en-US"/>
        </w:rPr>
        <w:tab/>
        <w:t>- 31</w:t>
      </w:r>
      <w:r>
        <w:rPr>
          <w:bCs/>
          <w:iCs/>
          <w:vertAlign w:val="superscript"/>
          <w:lang w:val="en-US"/>
        </w:rPr>
        <w:t>st</w:t>
      </w:r>
      <w:r>
        <w:rPr>
          <w:bCs/>
          <w:iCs/>
          <w:lang w:val="en-US"/>
        </w:rPr>
        <w:t xml:space="preserve"> Global Finance Conference (GFC), 18-20 June 2024, Cagliari. </w:t>
      </w:r>
    </w:p>
    <w:p w:rsidR="00EC6EA4" w:rsidRDefault="00EC6EA4" w:rsidP="00EC6EA4">
      <w:pPr>
        <w:tabs>
          <w:tab w:val="left" w:pos="1701"/>
          <w:tab w:val="left" w:pos="1927"/>
        </w:tabs>
        <w:spacing w:line="360" w:lineRule="atLeast"/>
        <w:ind w:left="840" w:hanging="220"/>
        <w:rPr>
          <w:bCs/>
          <w:iCs/>
          <w:lang w:val="en-US"/>
        </w:rPr>
      </w:pPr>
      <w:r>
        <w:rPr>
          <w:bCs/>
          <w:iCs/>
          <w:lang w:val="en-US"/>
        </w:rPr>
        <w:tab/>
        <w:t>- 2</w:t>
      </w:r>
      <w:r>
        <w:rPr>
          <w:bCs/>
          <w:iCs/>
          <w:vertAlign w:val="superscript"/>
          <w:lang w:val="en-US"/>
        </w:rPr>
        <w:t>nd</w:t>
      </w:r>
      <w:r>
        <w:rPr>
          <w:bCs/>
          <w:iCs/>
          <w:lang w:val="en-US"/>
        </w:rPr>
        <w:t xml:space="preserve"> Annual Meeting of the International Society for the Advancement of Financial Economics (ISAFE), 8-10 July 2024, Pattaya. </w:t>
      </w:r>
    </w:p>
    <w:p w:rsidR="009C0633" w:rsidRPr="00EC6EA4" w:rsidRDefault="009C0633" w:rsidP="009F627D">
      <w:pPr>
        <w:tabs>
          <w:tab w:val="left" w:pos="1701"/>
          <w:tab w:val="left" w:pos="1927"/>
        </w:tabs>
        <w:spacing w:line="360" w:lineRule="atLeast"/>
        <w:ind w:left="840" w:hanging="220"/>
        <w:rPr>
          <w:bCs/>
          <w:iCs/>
          <w:lang w:val="en-US"/>
        </w:rPr>
      </w:pPr>
      <w:r>
        <w:rPr>
          <w:bCs/>
          <w:iCs/>
          <w:lang w:val="en-US"/>
        </w:rPr>
        <w:tab/>
        <w:t>- World Finance Conference, 31 July-2 August, 2024, Nicosia.</w:t>
      </w:r>
    </w:p>
    <w:p w:rsidR="00DE55DB" w:rsidRDefault="009C0633" w:rsidP="00DE55DB">
      <w:pPr>
        <w:tabs>
          <w:tab w:val="left" w:pos="1701"/>
          <w:tab w:val="left" w:pos="1927"/>
        </w:tabs>
        <w:spacing w:line="360" w:lineRule="atLeast"/>
        <w:ind w:left="840" w:hanging="220"/>
        <w:rPr>
          <w:lang w:val="en-US"/>
        </w:rPr>
      </w:pPr>
      <w:r>
        <w:rPr>
          <w:bCs/>
          <w:iCs/>
          <w:lang w:val="en-US"/>
        </w:rPr>
        <w:t>•</w:t>
      </w:r>
      <w:r>
        <w:rPr>
          <w:lang w:val="en-US"/>
        </w:rPr>
        <w:t xml:space="preserve"> “</w:t>
      </w:r>
      <w:r>
        <w:rPr>
          <w:i/>
          <w:iCs/>
          <w:lang w:val="en-US"/>
        </w:rPr>
        <w:t>Small Banks Really Are Different: Unexpected Deposit Flows, Loan Production, and Off-Balance-Sheet Funding Liquidity Risk</w:t>
      </w:r>
      <w:r>
        <w:rPr>
          <w:lang w:val="en-US"/>
        </w:rPr>
        <w:t>”, with G. Ozturk Danisman, T. Barry, A. Diabaté, and L.J. White”,</w:t>
      </w:r>
      <w:r>
        <w:rPr>
          <w:lang w:val="en-US"/>
        </w:rPr>
        <w:tab/>
      </w:r>
    </w:p>
    <w:p w:rsidR="00DE55DB" w:rsidRDefault="00DE55DB" w:rsidP="00DE55DB">
      <w:pPr>
        <w:tabs>
          <w:tab w:val="left" w:pos="1701"/>
          <w:tab w:val="left" w:pos="1927"/>
        </w:tabs>
        <w:spacing w:line="360" w:lineRule="atLeast"/>
        <w:ind w:left="840" w:hanging="220"/>
        <w:rPr>
          <w:lang w:val="en-US"/>
        </w:rPr>
      </w:pPr>
      <w:r>
        <w:rPr>
          <w:lang w:val="en-US"/>
        </w:rPr>
        <w:tab/>
      </w:r>
      <w:r>
        <w:rPr>
          <w:bCs/>
          <w:iCs/>
          <w:lang w:val="en-GB"/>
        </w:rPr>
        <w:t>- Western Economic Association International (WEAI), 99</w:t>
      </w:r>
      <w:r>
        <w:rPr>
          <w:bCs/>
          <w:iCs/>
          <w:vertAlign w:val="superscript"/>
          <w:lang w:val="en-GB"/>
        </w:rPr>
        <w:t>th</w:t>
      </w:r>
      <w:r>
        <w:rPr>
          <w:bCs/>
          <w:iCs/>
          <w:lang w:val="en-GB"/>
        </w:rPr>
        <w:t xml:space="preserve"> annual conference, June 27-July 3, 2024, Seattle.</w:t>
      </w:r>
    </w:p>
    <w:p w:rsidR="00DE55DB" w:rsidRDefault="00DE55DB" w:rsidP="00DE55DB">
      <w:pPr>
        <w:tabs>
          <w:tab w:val="left" w:pos="1701"/>
          <w:tab w:val="left" w:pos="1927"/>
        </w:tabs>
        <w:spacing w:line="360" w:lineRule="atLeast"/>
        <w:ind w:left="840" w:hanging="220"/>
        <w:rPr>
          <w:lang w:val="en-US"/>
        </w:rPr>
      </w:pPr>
      <w:r>
        <w:rPr>
          <w:lang w:val="en-US"/>
        </w:rPr>
        <w:tab/>
        <w:t>- 2024 International Conference in Finance, Accounting and Banking, 6-8 September 2024, Southampton.</w:t>
      </w:r>
    </w:p>
    <w:p w:rsidR="009C0633" w:rsidRDefault="00DE55DB" w:rsidP="00DE55DB">
      <w:pPr>
        <w:tabs>
          <w:tab w:val="left" w:pos="1701"/>
          <w:tab w:val="left" w:pos="1927"/>
        </w:tabs>
        <w:spacing w:line="360" w:lineRule="atLeast"/>
        <w:ind w:left="840" w:hanging="220"/>
        <w:rPr>
          <w:lang w:val="en-US"/>
        </w:rPr>
      </w:pPr>
      <w:r>
        <w:rPr>
          <w:lang w:val="en-US"/>
        </w:rPr>
        <w:tab/>
        <w:t xml:space="preserve">- 2024 International Conference in Banking and Financial Studies, 5-6 September 2024, Catania. </w:t>
      </w:r>
    </w:p>
    <w:p w:rsidR="00725370" w:rsidRPr="00D76371" w:rsidRDefault="002D6ADD" w:rsidP="00D76371">
      <w:pPr>
        <w:tabs>
          <w:tab w:val="left" w:pos="1701"/>
          <w:tab w:val="left" w:pos="1927"/>
        </w:tabs>
        <w:spacing w:line="360" w:lineRule="atLeast"/>
        <w:ind w:left="840" w:hanging="220"/>
        <w:rPr>
          <w:lang w:val="en-US"/>
        </w:rPr>
      </w:pPr>
      <w:r>
        <w:rPr>
          <w:lang w:val="en-US"/>
        </w:rPr>
        <w:tab/>
        <w:t xml:space="preserve">- </w:t>
      </w:r>
      <w:r>
        <w:rPr>
          <w:bCs/>
          <w:iCs/>
          <w:lang w:val="en-US"/>
        </w:rPr>
        <w:t>SEA 94</w:t>
      </w:r>
      <w:r>
        <w:rPr>
          <w:bCs/>
          <w:iCs/>
          <w:vertAlign w:val="superscript"/>
          <w:lang w:val="en-US"/>
        </w:rPr>
        <w:t>th</w:t>
      </w:r>
      <w:r>
        <w:rPr>
          <w:bCs/>
          <w:iCs/>
          <w:lang w:val="en-US"/>
        </w:rPr>
        <w:t> Annual Meeting, 23-25 November 2024, Washington, DC.</w:t>
      </w:r>
    </w:p>
    <w:p w:rsidR="00725370" w:rsidRPr="00725370" w:rsidRDefault="00725370" w:rsidP="00725370">
      <w:pPr>
        <w:tabs>
          <w:tab w:val="left" w:pos="1701"/>
          <w:tab w:val="left" w:pos="1927"/>
        </w:tabs>
        <w:spacing w:line="360" w:lineRule="atLeast"/>
        <w:ind w:left="840" w:hanging="220"/>
        <w:rPr>
          <w:bCs/>
          <w:iCs/>
          <w:lang w:val="en-US"/>
        </w:rPr>
      </w:pPr>
      <w:r>
        <w:rPr>
          <w:b/>
          <w:bCs/>
          <w:iCs/>
          <w:lang w:val="en-US"/>
        </w:rPr>
        <w:t xml:space="preserve">• </w:t>
      </w:r>
      <w:r>
        <w:rPr>
          <w:iCs/>
          <w:lang w:val="en-US"/>
        </w:rPr>
        <w:t>“</w:t>
      </w:r>
      <w:r>
        <w:rPr>
          <w:bCs/>
          <w:i/>
          <w:lang w:val="en-US"/>
        </w:rPr>
        <w:t>Relationship Banking: The Borrower’s Incentives Channel</w:t>
      </w:r>
      <w:r>
        <w:rPr>
          <w:bCs/>
          <w:iCs/>
          <w:lang w:val="en-US"/>
        </w:rPr>
        <w:t>”, with P. Abedifar, S. Kamyab, and S. Ongena</w:t>
      </w:r>
      <w:bookmarkStart w:id="0" w:name="_ftnref1"/>
      <w:bookmarkEnd w:id="0"/>
      <w:r>
        <w:rPr>
          <w:bCs/>
          <w:iCs/>
          <w:lang w:val="en-US"/>
        </w:rPr>
        <w:t>,</w:t>
      </w:r>
    </w:p>
    <w:p w:rsidR="00725370" w:rsidRPr="00725370" w:rsidRDefault="00D76371" w:rsidP="00725370">
      <w:pPr>
        <w:tabs>
          <w:tab w:val="left" w:pos="1701"/>
          <w:tab w:val="left" w:pos="1927"/>
        </w:tabs>
        <w:spacing w:line="360" w:lineRule="atLeast"/>
        <w:ind w:left="840" w:hanging="220"/>
        <w:rPr>
          <w:bCs/>
          <w:iCs/>
          <w:lang w:val="en-US"/>
        </w:rPr>
      </w:pPr>
      <w:r>
        <w:rPr>
          <w:bCs/>
          <w:iCs/>
          <w:lang w:val="en-US"/>
        </w:rPr>
        <w:tab/>
        <w:t>- 2024 International Conference in Finance, Accounting and Banking, 6-8 September 2024, Southampton.</w:t>
      </w:r>
    </w:p>
    <w:p w:rsidR="00725370" w:rsidRDefault="00D76371" w:rsidP="00725370">
      <w:pPr>
        <w:tabs>
          <w:tab w:val="left" w:pos="1701"/>
          <w:tab w:val="left" w:pos="1927"/>
        </w:tabs>
        <w:spacing w:line="360" w:lineRule="atLeast"/>
        <w:ind w:left="840" w:hanging="220"/>
        <w:rPr>
          <w:bCs/>
          <w:iCs/>
          <w:lang w:val="en-US"/>
        </w:rPr>
      </w:pPr>
      <w:r>
        <w:rPr>
          <w:bCs/>
          <w:iCs/>
          <w:lang w:val="en-US"/>
        </w:rPr>
        <w:tab/>
        <w:t>- World Finance Conference, 16-18 December 2024, Abou Dhabi.</w:t>
      </w:r>
    </w:p>
    <w:p w:rsidR="00D76371" w:rsidRPr="00D76371" w:rsidRDefault="00D76371" w:rsidP="00D76371">
      <w:pPr>
        <w:tabs>
          <w:tab w:val="left" w:pos="1701"/>
          <w:tab w:val="left" w:pos="1927"/>
        </w:tabs>
        <w:spacing w:line="360" w:lineRule="atLeast"/>
        <w:ind w:left="840" w:hanging="220"/>
        <w:rPr>
          <w:bCs/>
          <w:iCs/>
          <w:lang w:val="en-US"/>
        </w:rPr>
      </w:pPr>
      <w:r>
        <w:rPr>
          <w:bCs/>
          <w:iCs/>
          <w:lang w:val="en-US"/>
        </w:rPr>
        <w:t>• “</w:t>
      </w:r>
      <w:r>
        <w:rPr>
          <w:bCs/>
          <w:i/>
          <w:iCs/>
          <w:lang w:val="en-US"/>
        </w:rPr>
        <w:t xml:space="preserve">On the foundation of CSR in Banking”, </w:t>
      </w:r>
      <w:r>
        <w:rPr>
          <w:bCs/>
          <w:iCs/>
          <w:lang w:val="en-US"/>
        </w:rPr>
        <w:t>with M. Bitar and A. Dadoukis</w:t>
      </w:r>
    </w:p>
    <w:p w:rsidR="00D76371" w:rsidRPr="00725370" w:rsidRDefault="00D76371" w:rsidP="00D76371">
      <w:pPr>
        <w:tabs>
          <w:tab w:val="left" w:pos="1701"/>
          <w:tab w:val="left" w:pos="1927"/>
        </w:tabs>
        <w:spacing w:line="360" w:lineRule="atLeast"/>
        <w:ind w:left="840" w:hanging="220"/>
        <w:rPr>
          <w:bCs/>
          <w:iCs/>
          <w:lang w:val="en-US"/>
        </w:rPr>
      </w:pPr>
      <w:r>
        <w:rPr>
          <w:bCs/>
          <w:i/>
          <w:iCs/>
          <w:lang w:val="en-US"/>
        </w:rPr>
        <w:tab/>
        <w:t>-</w:t>
      </w:r>
      <w:r>
        <w:rPr>
          <w:bCs/>
          <w:iCs/>
          <w:lang w:val="en-US"/>
        </w:rPr>
        <w:t>IFABS 2024 Conference, 20-22 December, Shanghai.</w:t>
      </w:r>
    </w:p>
    <w:p w:rsidR="009F627D" w:rsidRPr="009F627D" w:rsidRDefault="009F627D" w:rsidP="009F627D">
      <w:pPr>
        <w:tabs>
          <w:tab w:val="left" w:pos="1701"/>
          <w:tab w:val="left" w:pos="1927"/>
        </w:tabs>
        <w:spacing w:line="360" w:lineRule="atLeast"/>
        <w:ind w:left="840" w:hanging="220"/>
        <w:rPr>
          <w:bCs/>
          <w:iCs/>
          <w:lang w:val="en-US"/>
        </w:rPr>
      </w:pPr>
      <w:r>
        <w:rPr>
          <w:bCs/>
          <w:iCs/>
          <w:lang w:val="en-US"/>
        </w:rPr>
        <w:t>• “</w:t>
      </w:r>
      <w:r>
        <w:rPr>
          <w:bCs/>
          <w:i/>
          <w:iCs/>
          <w:lang w:val="en-US"/>
        </w:rPr>
        <w:t xml:space="preserve">Changes in liquidity regulation and bank credit growth”, </w:t>
      </w:r>
      <w:r>
        <w:rPr>
          <w:bCs/>
          <w:iCs/>
          <w:lang w:val="en-US"/>
        </w:rPr>
        <w:t>with Victor Osei,</w:t>
      </w:r>
    </w:p>
    <w:p w:rsidR="009F627D" w:rsidRPr="009F627D" w:rsidRDefault="009F627D" w:rsidP="009F627D">
      <w:pPr>
        <w:tabs>
          <w:tab w:val="left" w:pos="1701"/>
          <w:tab w:val="left" w:pos="1927"/>
        </w:tabs>
        <w:spacing w:line="360" w:lineRule="atLeast"/>
        <w:ind w:left="840" w:hanging="220"/>
        <w:rPr>
          <w:bCs/>
          <w:iCs/>
          <w:lang w:val="en-US"/>
        </w:rPr>
      </w:pPr>
      <w:r>
        <w:rPr>
          <w:bCs/>
          <w:iCs/>
          <w:lang w:val="en-US"/>
        </w:rPr>
        <w:tab/>
        <w:t xml:space="preserve">-2024 Vietnam Symposium in Banking and Finance (VSBF2024), 24-26 October 2024, Hanoi. </w:t>
      </w:r>
    </w:p>
    <w:p w:rsidR="009F627D" w:rsidRPr="009F627D" w:rsidRDefault="009F627D" w:rsidP="009F627D">
      <w:pPr>
        <w:tabs>
          <w:tab w:val="left" w:pos="1701"/>
          <w:tab w:val="left" w:pos="1927"/>
        </w:tabs>
        <w:spacing w:line="360" w:lineRule="atLeast"/>
        <w:ind w:left="840" w:hanging="220"/>
        <w:rPr>
          <w:bCs/>
          <w:iCs/>
          <w:lang w:val="en-US"/>
        </w:rPr>
      </w:pPr>
      <w:r>
        <w:rPr>
          <w:bCs/>
          <w:iCs/>
          <w:lang w:val="en-US"/>
        </w:rPr>
        <w:tab/>
        <w:t>-Sydney Banking and Financial Stability Conference, 9-10 December 2024, Sydney.</w:t>
      </w:r>
    </w:p>
    <w:p w:rsidR="00AA4A85" w:rsidRDefault="009F627D" w:rsidP="00601D8A">
      <w:pPr>
        <w:tabs>
          <w:tab w:val="left" w:pos="1701"/>
          <w:tab w:val="left" w:pos="1927"/>
        </w:tabs>
        <w:spacing w:line="360" w:lineRule="atLeast"/>
        <w:ind w:left="840" w:hanging="220"/>
        <w:rPr>
          <w:bCs/>
          <w:iCs/>
          <w:lang w:val="en-US"/>
        </w:rPr>
      </w:pPr>
      <w:r>
        <w:rPr>
          <w:bCs/>
          <w:iCs/>
          <w:lang w:val="en-US"/>
        </w:rPr>
        <w:tab/>
        <w:t>- 37</w:t>
      </w:r>
      <w:r>
        <w:rPr>
          <w:bCs/>
          <w:iCs/>
          <w:vertAlign w:val="superscript"/>
          <w:lang w:val="en-US"/>
        </w:rPr>
        <w:t>th</w:t>
      </w:r>
      <w:r>
        <w:rPr>
          <w:bCs/>
          <w:iCs/>
          <w:lang w:val="en-US"/>
        </w:rPr>
        <w:t xml:space="preserve"> Australasian Finance &amp; Banking Conference, 10-13 December 2024, Sydney.</w:t>
      </w:r>
    </w:p>
    <w:p w:rsidR="00D76371" w:rsidRPr="00D76371" w:rsidRDefault="00D76371" w:rsidP="00D76371">
      <w:pPr>
        <w:tabs>
          <w:tab w:val="left" w:pos="1701"/>
          <w:tab w:val="left" w:pos="1927"/>
        </w:tabs>
        <w:spacing w:line="360" w:lineRule="atLeast"/>
        <w:ind w:left="840" w:hanging="220"/>
        <w:rPr>
          <w:bCs/>
          <w:iCs/>
          <w:lang w:val="en-US"/>
        </w:rPr>
      </w:pPr>
      <w:r>
        <w:rPr>
          <w:bCs/>
          <w:iCs/>
          <w:lang w:val="en-US"/>
        </w:rPr>
        <w:tab/>
        <w:t>- 3</w:t>
      </w:r>
      <w:r>
        <w:rPr>
          <w:bCs/>
          <w:iCs/>
          <w:vertAlign w:val="superscript"/>
          <w:lang w:val="en-US"/>
        </w:rPr>
        <w:t>nd</w:t>
      </w:r>
      <w:r>
        <w:rPr>
          <w:bCs/>
          <w:iCs/>
          <w:lang w:val="en-US"/>
        </w:rPr>
        <w:t xml:space="preserve"> Annual Meeting of the International Society for the Advancement of Financial Economics (ISAFE), 23-25 June 2025, Beijing. </w:t>
      </w:r>
    </w:p>
    <w:p w:rsidR="00D76371" w:rsidRDefault="00D76371" w:rsidP="00D76371">
      <w:pPr>
        <w:tabs>
          <w:tab w:val="left" w:pos="1701"/>
          <w:tab w:val="left" w:pos="1927"/>
        </w:tabs>
        <w:spacing w:line="360" w:lineRule="atLeast"/>
        <w:ind w:left="840" w:hanging="220"/>
        <w:rPr>
          <w:bCs/>
          <w:iCs/>
          <w:lang w:val="en-US"/>
        </w:rPr>
      </w:pPr>
      <w:r>
        <w:rPr>
          <w:bCs/>
          <w:iCs/>
          <w:lang w:val="en-US"/>
        </w:rPr>
        <w:tab/>
        <w:t>- World Finance Conference, 28-31 July, 2025, Malta.</w:t>
      </w:r>
    </w:p>
    <w:p w:rsidR="00D76371" w:rsidRDefault="00D76371" w:rsidP="00D76371">
      <w:pPr>
        <w:tabs>
          <w:tab w:val="left" w:pos="1701"/>
          <w:tab w:val="left" w:pos="1927"/>
        </w:tabs>
        <w:spacing w:line="360" w:lineRule="atLeast"/>
        <w:ind w:left="840" w:hanging="220"/>
        <w:rPr>
          <w:bCs/>
          <w:iCs/>
          <w:lang w:val="en-US"/>
        </w:rPr>
      </w:pPr>
      <w:r>
        <w:rPr>
          <w:bCs/>
          <w:iCs/>
          <w:lang w:val="en-US"/>
        </w:rPr>
        <w:t xml:space="preserve">    - 2025 International Conference in Banking and Financial Studies (ICBFS), 11-12 September 2025, Milan. </w:t>
      </w:r>
    </w:p>
    <w:p w:rsidR="007A60A8" w:rsidRPr="00D76371" w:rsidRDefault="007A60A8" w:rsidP="007A60A8">
      <w:pPr>
        <w:tabs>
          <w:tab w:val="left" w:pos="1701"/>
          <w:tab w:val="left" w:pos="1927"/>
        </w:tabs>
        <w:spacing w:line="360" w:lineRule="atLeast"/>
        <w:ind w:left="840" w:hanging="220"/>
        <w:rPr>
          <w:bCs/>
          <w:iCs/>
          <w:lang w:val="en-US"/>
        </w:rPr>
      </w:pPr>
      <w:r>
        <w:rPr>
          <w:bCs/>
          <w:iCs/>
          <w:lang w:val="en-US"/>
        </w:rPr>
        <w:tab/>
        <w:t>- 1</w:t>
      </w:r>
      <w:r>
        <w:rPr>
          <w:bCs/>
          <w:iCs/>
          <w:vertAlign w:val="superscript"/>
          <w:lang w:val="en-US"/>
        </w:rPr>
        <w:t>st</w:t>
      </w:r>
      <w:r>
        <w:rPr>
          <w:bCs/>
          <w:iCs/>
          <w:lang w:val="en-US"/>
        </w:rPr>
        <w:t xml:space="preserve"> Annual Conference on Financial Stability, Regulation and Governance, 9-10 October 2025, Wuhan. </w:t>
      </w:r>
    </w:p>
    <w:p w:rsidR="00D76371" w:rsidRPr="00D76371" w:rsidRDefault="00D76371" w:rsidP="00D76371">
      <w:pPr>
        <w:tabs>
          <w:tab w:val="left" w:pos="1701"/>
          <w:tab w:val="left" w:pos="1927"/>
        </w:tabs>
        <w:spacing w:line="360" w:lineRule="atLeast"/>
        <w:ind w:left="840" w:hanging="220"/>
        <w:rPr>
          <w:bCs/>
          <w:iCs/>
          <w:lang w:val="en-GB"/>
        </w:rPr>
      </w:pPr>
      <w:r>
        <w:rPr>
          <w:bCs/>
          <w:iCs/>
          <w:lang w:val="en-US"/>
        </w:rPr>
        <w:lastRenderedPageBreak/>
        <w:t>• “</w:t>
      </w:r>
      <w:r>
        <w:rPr>
          <w:bCs/>
          <w:i/>
          <w:iCs/>
          <w:lang w:val="en-GB"/>
        </w:rPr>
        <w:t>Prior Lending Relationships and the Effectiveness of Commitments in</w:t>
      </w:r>
      <w:r>
        <w:rPr>
          <w:bCs/>
          <w:i/>
          <w:iCs/>
          <w:lang w:val="en-GB"/>
        </w:rPr>
        <w:br/>
        <w:t>Sustainability-Linked Loans</w:t>
      </w:r>
      <w:r>
        <w:rPr>
          <w:bCs/>
          <w:iCs/>
          <w:lang w:val="en-GB"/>
        </w:rPr>
        <w:t>”, with G. Danisman, J. Oberoi and V. Osei,</w:t>
      </w:r>
    </w:p>
    <w:p w:rsidR="00D76371" w:rsidRDefault="00D76371" w:rsidP="00D76371">
      <w:pPr>
        <w:tabs>
          <w:tab w:val="left" w:pos="1701"/>
          <w:tab w:val="left" w:pos="1927"/>
        </w:tabs>
        <w:spacing w:line="360" w:lineRule="atLeast"/>
        <w:ind w:left="840" w:hanging="220"/>
        <w:rPr>
          <w:bCs/>
          <w:iCs/>
          <w:lang w:val="en-US"/>
        </w:rPr>
      </w:pPr>
      <w:r>
        <w:rPr>
          <w:bCs/>
          <w:iCs/>
          <w:lang w:val="en-US"/>
        </w:rPr>
        <w:t xml:space="preserve">- Conference on Sustainable Banking &amp; Finance (CSBF2025),1-2 July 2025, Naples </w:t>
      </w:r>
    </w:p>
    <w:p w:rsidR="00655C37" w:rsidRDefault="00655C37" w:rsidP="00655C37">
      <w:pPr>
        <w:tabs>
          <w:tab w:val="left" w:pos="1701"/>
          <w:tab w:val="left" w:pos="1927"/>
        </w:tabs>
        <w:spacing w:line="360" w:lineRule="atLeast"/>
        <w:ind w:left="840" w:hanging="220"/>
        <w:rPr>
          <w:bCs/>
          <w:iCs/>
          <w:lang w:val="en-US"/>
        </w:rPr>
      </w:pPr>
      <w:r>
        <w:rPr>
          <w:bCs/>
          <w:iCs/>
          <w:lang w:val="en-US"/>
        </w:rPr>
        <w:t xml:space="preserve">- 2025 Vietnam Symposium in Banking and Finance (VSBF2025), 23-25 October 2025, Hanoi. </w:t>
      </w:r>
    </w:p>
    <w:p w:rsidR="00683BA9" w:rsidRDefault="00683BA9" w:rsidP="00655C37">
      <w:pPr>
        <w:tabs>
          <w:tab w:val="left" w:pos="1701"/>
          <w:tab w:val="left" w:pos="1927"/>
        </w:tabs>
        <w:spacing w:line="360" w:lineRule="atLeast"/>
        <w:ind w:left="840" w:hanging="220"/>
        <w:rPr>
          <w:bCs/>
          <w:iCs/>
          <w:lang w:val="en-US"/>
        </w:rPr>
      </w:pPr>
      <w:r>
        <w:rPr>
          <w:bCs/>
          <w:iCs/>
          <w:lang w:val="en-US"/>
        </w:rPr>
        <w:t>- 2025 Massey sustainable finance conference (MSFC2025), 31 October-1 November 2025, Nanjing.</w:t>
      </w:r>
    </w:p>
    <w:p w:rsidR="001B2596" w:rsidRDefault="001B2596" w:rsidP="00655C37">
      <w:pPr>
        <w:tabs>
          <w:tab w:val="left" w:pos="1701"/>
          <w:tab w:val="left" w:pos="1927"/>
        </w:tabs>
        <w:spacing w:line="360" w:lineRule="atLeast"/>
        <w:ind w:left="840" w:hanging="220"/>
        <w:rPr>
          <w:bCs/>
          <w:iCs/>
          <w:lang w:val="en-US"/>
        </w:rPr>
      </w:pPr>
      <w:r>
        <w:rPr>
          <w:bCs/>
          <w:iCs/>
          <w:lang w:val="en-US"/>
        </w:rPr>
        <w:t>- 38</w:t>
      </w:r>
      <w:r>
        <w:rPr>
          <w:bCs/>
          <w:iCs/>
          <w:vertAlign w:val="superscript"/>
          <w:lang w:val="en-US"/>
        </w:rPr>
        <w:t>th</w:t>
      </w:r>
      <w:r>
        <w:rPr>
          <w:bCs/>
          <w:iCs/>
          <w:lang w:val="en-US"/>
        </w:rPr>
        <w:t xml:space="preserve"> Australasian Finance &amp; Banking Conference, 10-13 December 2025, Sydney.</w:t>
      </w:r>
    </w:p>
    <w:p w:rsidR="001B2596" w:rsidRDefault="001B2596" w:rsidP="001B2596">
      <w:pPr>
        <w:tabs>
          <w:tab w:val="left" w:pos="1701"/>
          <w:tab w:val="left" w:pos="1927"/>
        </w:tabs>
        <w:spacing w:line="360" w:lineRule="atLeast"/>
        <w:ind w:left="840" w:hanging="220"/>
        <w:rPr>
          <w:bCs/>
          <w:iCs/>
          <w:lang w:val="en-US"/>
        </w:rPr>
      </w:pPr>
      <w:r>
        <w:rPr>
          <w:bCs/>
          <w:iCs/>
          <w:lang w:val="en-US"/>
        </w:rPr>
        <w:t xml:space="preserve">- Sydney Banking and Financial Stability Conference (SBFC2025), </w:t>
      </w:r>
      <w:r>
        <w:rPr>
          <w:lang w:val="en-US"/>
        </w:rPr>
        <w:t>15-16 December 2025</w:t>
      </w:r>
      <w:r>
        <w:rPr>
          <w:bCs/>
          <w:iCs/>
          <w:lang w:val="en-US"/>
        </w:rPr>
        <w:t>, Sydney.</w:t>
      </w:r>
    </w:p>
    <w:p w:rsidR="00B060E8" w:rsidRPr="00B060E8" w:rsidRDefault="00B060E8" w:rsidP="00B060E8">
      <w:pPr>
        <w:tabs>
          <w:tab w:val="left" w:pos="1701"/>
          <w:tab w:val="left" w:pos="1927"/>
        </w:tabs>
        <w:spacing w:line="360" w:lineRule="atLeast"/>
        <w:ind w:left="840" w:hanging="220"/>
        <w:rPr>
          <w:bCs/>
          <w:iCs/>
          <w:lang w:val="en-US"/>
        </w:rPr>
      </w:pPr>
      <w:r>
        <w:rPr>
          <w:bCs/>
          <w:iCs/>
          <w:lang w:val="en-US"/>
        </w:rPr>
        <w:t>- 33</w:t>
      </w:r>
      <w:r>
        <w:rPr>
          <w:bCs/>
          <w:iCs/>
          <w:vertAlign w:val="superscript"/>
          <w:lang w:val="en-US"/>
        </w:rPr>
        <w:t>rd</w:t>
      </w:r>
      <w:r>
        <w:rPr>
          <w:bCs/>
          <w:iCs/>
          <w:lang w:val="en-US"/>
        </w:rPr>
        <w:t> Annual Global Finance Conference (GFC), June 15-17, 2026, Ponta Delgada.</w:t>
      </w:r>
    </w:p>
    <w:p w:rsidR="00B060E8" w:rsidRPr="00B060E8" w:rsidRDefault="00B060E8" w:rsidP="00B060E8">
      <w:pPr>
        <w:tabs>
          <w:tab w:val="left" w:pos="1701"/>
          <w:tab w:val="left" w:pos="1927"/>
        </w:tabs>
        <w:spacing w:line="360" w:lineRule="atLeast"/>
        <w:ind w:left="840" w:hanging="220"/>
        <w:rPr>
          <w:b/>
          <w:bCs/>
          <w:iCs/>
          <w:lang w:val="en-US"/>
        </w:rPr>
      </w:pPr>
      <w:r>
        <w:rPr>
          <w:bCs/>
          <w:iCs/>
          <w:lang w:val="en-US"/>
        </w:rPr>
        <w:t>- 32</w:t>
      </w:r>
      <w:r>
        <w:rPr>
          <w:bCs/>
          <w:iCs/>
          <w:vertAlign w:val="superscript"/>
          <w:lang w:val="en-US"/>
        </w:rPr>
        <w:t>nd</w:t>
      </w:r>
      <w:r>
        <w:rPr>
          <w:bCs/>
          <w:iCs/>
          <w:lang w:val="en-US"/>
        </w:rPr>
        <w:t xml:space="preserve"> Annual Conference of the Multinational Finance Society,</w:t>
      </w:r>
      <w:r>
        <w:rPr>
          <w:b/>
          <w:bCs/>
          <w:iCs/>
          <w:lang w:val="en-US"/>
        </w:rPr>
        <w:t xml:space="preserve"> </w:t>
      </w:r>
      <w:r>
        <w:rPr>
          <w:bCs/>
          <w:iCs/>
          <w:lang w:val="en-US"/>
        </w:rPr>
        <w:t xml:space="preserve">June 28-July 1, 2026, Warsaw. </w:t>
      </w:r>
    </w:p>
    <w:p w:rsidR="00B060E8" w:rsidRDefault="00B060E8" w:rsidP="00B060E8">
      <w:pPr>
        <w:tabs>
          <w:tab w:val="left" w:pos="1701"/>
          <w:tab w:val="left" w:pos="1927"/>
        </w:tabs>
        <w:spacing w:line="360" w:lineRule="atLeast"/>
        <w:ind w:left="840" w:hanging="220"/>
        <w:rPr>
          <w:bCs/>
          <w:iCs/>
          <w:lang w:val="en-US"/>
        </w:rPr>
      </w:pPr>
      <w:r>
        <w:rPr>
          <w:bCs/>
          <w:iCs/>
          <w:lang w:val="en-US"/>
        </w:rPr>
        <w:t xml:space="preserve">- World Finance Conference, 26-29 July 2026, Limerick. </w:t>
      </w:r>
    </w:p>
    <w:p w:rsidR="009F6444" w:rsidRDefault="001078DE" w:rsidP="0041724A">
      <w:pPr>
        <w:tabs>
          <w:tab w:val="left" w:pos="1701"/>
          <w:tab w:val="left" w:pos="1927"/>
        </w:tabs>
        <w:spacing w:line="360" w:lineRule="atLeast"/>
        <w:ind w:left="840" w:hanging="220"/>
        <w:rPr>
          <w:bCs/>
          <w:iCs/>
          <w:lang w:val="en-US"/>
        </w:rPr>
      </w:pPr>
      <w:r>
        <w:rPr>
          <w:bCs/>
          <w:iCs/>
          <w:lang w:val="en-US"/>
        </w:rPr>
        <w:t>• “</w:t>
      </w:r>
      <w:r>
        <w:rPr>
          <w:bCs/>
          <w:i/>
          <w:iCs/>
          <w:lang w:val="en-GB"/>
        </w:rPr>
        <w:t>Liquidity Regulation, Bank Lending and Risk”</w:t>
      </w:r>
      <w:r>
        <w:rPr>
          <w:bCs/>
          <w:lang w:val="en-GB"/>
        </w:rPr>
        <w:t xml:space="preserve">, Keynote Speech, </w:t>
      </w:r>
      <w:r>
        <w:rPr>
          <w:bCs/>
          <w:iCs/>
          <w:lang w:val="en-US"/>
        </w:rPr>
        <w:t>54th EBES Conference</w:t>
      </w:r>
      <w:r>
        <w:rPr>
          <w:bCs/>
          <w:i/>
          <w:iCs/>
          <w:lang w:val="en-US"/>
        </w:rPr>
        <w:t>,</w:t>
      </w:r>
      <w:r>
        <w:rPr>
          <w:bCs/>
          <w:iCs/>
          <w:lang w:val="en-US"/>
        </w:rPr>
        <w:t xml:space="preserve"> 8-10 January 2026, Paris.</w:t>
      </w:r>
    </w:p>
    <w:p w:rsidR="00FB20F8" w:rsidRPr="00FB20F8" w:rsidRDefault="00FB20F8" w:rsidP="00FB20F8">
      <w:pPr>
        <w:tabs>
          <w:tab w:val="left" w:pos="1701"/>
          <w:tab w:val="left" w:pos="1927"/>
        </w:tabs>
        <w:spacing w:line="360" w:lineRule="atLeast"/>
        <w:ind w:left="840" w:hanging="220"/>
        <w:rPr>
          <w:iCs/>
          <w:lang w:val="en-US"/>
        </w:rPr>
      </w:pPr>
      <w:r>
        <w:rPr>
          <w:iCs/>
          <w:lang w:val="en-US"/>
        </w:rPr>
        <w:t>•</w:t>
      </w:r>
      <w:r>
        <w:rPr>
          <w:i/>
          <w:lang w:val="en-US"/>
        </w:rPr>
        <w:t xml:space="preserve"> “Relationship Banking and Corporate Green Investments”</w:t>
      </w:r>
      <w:r>
        <w:rPr>
          <w:iCs/>
          <w:lang w:val="en-US"/>
        </w:rPr>
        <w:t xml:space="preserve">, with L. Marchand and C. Meslier, </w:t>
      </w:r>
    </w:p>
    <w:p w:rsidR="00FB20F8" w:rsidRPr="00FB20F8" w:rsidRDefault="00FB20F8" w:rsidP="00FB20F8">
      <w:pPr>
        <w:tabs>
          <w:tab w:val="left" w:pos="1701"/>
          <w:tab w:val="left" w:pos="1927"/>
        </w:tabs>
        <w:spacing w:line="360" w:lineRule="atLeast"/>
        <w:ind w:left="840" w:hanging="220"/>
        <w:rPr>
          <w:iCs/>
          <w:lang w:val="en-US"/>
        </w:rPr>
      </w:pPr>
      <w:r>
        <w:rPr>
          <w:iCs/>
          <w:lang w:val="en-US"/>
        </w:rPr>
        <w:t>- 2026 FMA European Conference, 10-12 June, Braga.</w:t>
      </w:r>
    </w:p>
    <w:p w:rsidR="00FB20F8" w:rsidRPr="00FB20F8" w:rsidRDefault="00FB20F8" w:rsidP="00FB20F8">
      <w:pPr>
        <w:tabs>
          <w:tab w:val="left" w:pos="1701"/>
          <w:tab w:val="left" w:pos="1927"/>
        </w:tabs>
        <w:spacing w:line="360" w:lineRule="atLeast"/>
        <w:ind w:left="840" w:hanging="220"/>
        <w:rPr>
          <w:iCs/>
          <w:lang w:val="en-US"/>
        </w:rPr>
      </w:pPr>
      <w:r>
        <w:rPr>
          <w:iCs/>
          <w:lang w:val="en-US"/>
        </w:rPr>
        <w:t xml:space="preserve">-  </w:t>
      </w:r>
      <w:r>
        <w:rPr>
          <w:bCs/>
          <w:iCs/>
          <w:lang w:val="en-US"/>
        </w:rPr>
        <w:t>42</w:t>
      </w:r>
      <w:r>
        <w:rPr>
          <w:bCs/>
          <w:iCs/>
          <w:vertAlign w:val="superscript"/>
          <w:lang w:val="en-US"/>
        </w:rPr>
        <w:t>nd</w:t>
      </w:r>
      <w:r>
        <w:rPr>
          <w:bCs/>
          <w:iCs/>
          <w:lang w:val="en-US"/>
        </w:rPr>
        <w:t xml:space="preserve"> GdRE Annual International Symposium on Money, Banking and Finance</w:t>
      </w:r>
      <w:r>
        <w:rPr>
          <w:b/>
          <w:bCs/>
          <w:iCs/>
          <w:lang w:val="en-US"/>
        </w:rPr>
        <w:t xml:space="preserve">, </w:t>
      </w:r>
      <w:r>
        <w:rPr>
          <w:bCs/>
          <w:iCs/>
          <w:lang w:val="en-US"/>
        </w:rPr>
        <w:t>25-26</w:t>
      </w:r>
      <w:r>
        <w:rPr>
          <w:b/>
          <w:bCs/>
          <w:iCs/>
          <w:lang w:val="en-US"/>
        </w:rPr>
        <w:t xml:space="preserve"> </w:t>
      </w:r>
      <w:r>
        <w:rPr>
          <w:bCs/>
          <w:iCs/>
          <w:lang w:val="en-US"/>
        </w:rPr>
        <w:t xml:space="preserve">June </w:t>
      </w:r>
      <w:r>
        <w:rPr>
          <w:bCs/>
          <w:iCs/>
          <w:lang w:val="en-US"/>
        </w:rPr>
        <w:tab/>
        <w:t>2016, Rennes.</w:t>
      </w:r>
    </w:p>
    <w:p w:rsidR="00005369" w:rsidRPr="00005369" w:rsidRDefault="00005369" w:rsidP="00005369">
      <w:pPr>
        <w:tabs>
          <w:tab w:val="left" w:pos="1701"/>
          <w:tab w:val="left" w:pos="1927"/>
        </w:tabs>
        <w:spacing w:line="360" w:lineRule="atLeast"/>
        <w:ind w:left="840" w:hanging="220"/>
        <w:rPr>
          <w:iCs/>
          <w:lang w:val="en-US"/>
        </w:rPr>
      </w:pPr>
      <w:r>
        <w:rPr>
          <w:iCs/>
          <w:lang w:val="en-US"/>
        </w:rPr>
        <w:t>• “</w:t>
      </w:r>
      <w:r>
        <w:rPr>
          <w:i/>
          <w:lang w:val="en-US"/>
        </w:rPr>
        <w:t>Mandatory Sustainability Regulation, ESG Controversies, and Market Discipline in Banking</w:t>
      </w:r>
      <w:r>
        <w:rPr>
          <w:iCs/>
          <w:lang w:val="en-US"/>
        </w:rPr>
        <w:t>”, with C. Faure and E. Nys,</w:t>
      </w:r>
    </w:p>
    <w:p w:rsidR="00005369" w:rsidRDefault="00005369" w:rsidP="00005369">
      <w:pPr>
        <w:tabs>
          <w:tab w:val="left" w:pos="1701"/>
          <w:tab w:val="left" w:pos="1927"/>
        </w:tabs>
        <w:spacing w:line="360" w:lineRule="atLeast"/>
        <w:ind w:left="840" w:hanging="220"/>
        <w:rPr>
          <w:iCs/>
          <w:lang w:val="en-US"/>
        </w:rPr>
      </w:pPr>
      <w:r>
        <w:rPr>
          <w:iCs/>
          <w:lang w:val="en-US"/>
        </w:rPr>
        <w:t>-  42nd GdRE Annual International Symposium on Money, Banking and Finance, 25-26 June 2026, Rennes.</w:t>
      </w:r>
    </w:p>
    <w:p w:rsidR="00FB20F8" w:rsidRPr="00FB20F8" w:rsidRDefault="00FB20F8" w:rsidP="00FB20F8">
      <w:pPr>
        <w:tabs>
          <w:tab w:val="left" w:pos="1701"/>
          <w:tab w:val="left" w:pos="1927"/>
        </w:tabs>
        <w:spacing w:line="360" w:lineRule="atLeast"/>
        <w:ind w:left="840" w:hanging="220"/>
        <w:rPr>
          <w:iCs/>
          <w:lang w:val="en-US"/>
        </w:rPr>
      </w:pPr>
      <w:r>
        <w:rPr>
          <w:iCs/>
          <w:lang w:val="en-US"/>
        </w:rPr>
        <w:t>• “</w:t>
      </w:r>
      <w:r>
        <w:rPr>
          <w:i/>
          <w:iCs/>
          <w:lang w:val="en-US"/>
        </w:rPr>
        <w:t>Aging population, bank liquidity creation, market structure and business model”</w:t>
      </w:r>
      <w:r>
        <w:rPr>
          <w:iCs/>
          <w:lang w:val="en-US"/>
        </w:rPr>
        <w:t>, with V. Osei, P. Wachtel and L. White,</w:t>
      </w:r>
    </w:p>
    <w:p w:rsidR="00005369" w:rsidRPr="00FB20F8" w:rsidRDefault="00FB20F8" w:rsidP="00005369">
      <w:pPr>
        <w:tabs>
          <w:tab w:val="left" w:pos="1701"/>
          <w:tab w:val="left" w:pos="1927"/>
        </w:tabs>
        <w:spacing w:line="360" w:lineRule="atLeast"/>
        <w:ind w:left="840" w:hanging="220"/>
        <w:rPr>
          <w:iCs/>
          <w:lang w:val="en-GB"/>
        </w:rPr>
      </w:pPr>
      <w:r>
        <w:rPr>
          <w:iCs/>
          <w:lang w:val="en-US"/>
        </w:rPr>
        <w:t xml:space="preserve">- </w:t>
      </w:r>
      <w:r>
        <w:rPr>
          <w:iCs/>
          <w:lang w:val="en-GB"/>
        </w:rPr>
        <w:t>Western Economic Association International (WEAI), 101</w:t>
      </w:r>
      <w:r>
        <w:rPr>
          <w:iCs/>
          <w:vertAlign w:val="superscript"/>
          <w:lang w:val="en-GB"/>
        </w:rPr>
        <w:t>st</w:t>
      </w:r>
      <w:r>
        <w:rPr>
          <w:iCs/>
          <w:lang w:val="en-GB"/>
        </w:rPr>
        <w:t xml:space="preserve"> annual conference, June 29-July 3, 2026, Denver.</w:t>
      </w:r>
    </w:p>
    <w:p w:rsidR="00005369" w:rsidRPr="00005369" w:rsidRDefault="00005369" w:rsidP="00005369">
      <w:pPr>
        <w:tabs>
          <w:tab w:val="left" w:pos="1701"/>
          <w:tab w:val="left" w:pos="1927"/>
        </w:tabs>
        <w:spacing w:line="360" w:lineRule="atLeast"/>
        <w:ind w:left="840" w:hanging="220"/>
        <w:rPr>
          <w:iCs/>
          <w:lang w:val="en-US"/>
        </w:rPr>
      </w:pPr>
      <w:r>
        <w:rPr>
          <w:bCs/>
          <w:iCs/>
          <w:lang w:val="en-US"/>
        </w:rPr>
        <w:t>•</w:t>
      </w:r>
      <w:r>
        <w:rPr>
          <w:iCs/>
          <w:lang w:val="en-US"/>
        </w:rPr>
        <w:t xml:space="preserve"> “</w:t>
      </w:r>
      <w:r>
        <w:rPr>
          <w:i/>
          <w:iCs/>
          <w:lang w:val="en-US"/>
        </w:rPr>
        <w:t>Small Banks Really Are Different: Unexpected Deposit Flows, Loan Production, and Off-Balance-Sheet Funding Liquidity Risk</w:t>
      </w:r>
      <w:r>
        <w:rPr>
          <w:iCs/>
          <w:lang w:val="en-US"/>
        </w:rPr>
        <w:t>”, with G. Danisman, T. Barry, A. Diabaté, and L.J. White,</w:t>
      </w:r>
    </w:p>
    <w:p w:rsidR="0065378F" w:rsidRDefault="00005369" w:rsidP="0065378F">
      <w:pPr>
        <w:tabs>
          <w:tab w:val="left" w:pos="1701"/>
          <w:tab w:val="left" w:pos="1927"/>
        </w:tabs>
        <w:spacing w:line="360" w:lineRule="atLeast"/>
        <w:ind w:left="840" w:hanging="220"/>
        <w:rPr>
          <w:bCs/>
          <w:iCs/>
          <w:lang w:val="en-US"/>
        </w:rPr>
      </w:pPr>
      <w:r>
        <w:rPr>
          <w:bCs/>
          <w:iCs/>
          <w:lang w:val="en-US"/>
        </w:rPr>
        <w:t xml:space="preserve">- International Finance and Bank Society (IFABS) conference, 13-15 July 2026, London. </w:t>
      </w:r>
    </w:p>
    <w:p w:rsidR="0065378F" w:rsidRPr="0065378F" w:rsidRDefault="0065378F" w:rsidP="0065378F">
      <w:pPr>
        <w:tabs>
          <w:tab w:val="left" w:pos="1701"/>
          <w:tab w:val="left" w:pos="1927"/>
        </w:tabs>
        <w:spacing w:line="360" w:lineRule="atLeast"/>
        <w:ind w:left="840" w:hanging="220"/>
        <w:rPr>
          <w:bCs/>
          <w:iCs/>
          <w:lang w:val="en-US"/>
        </w:rPr>
      </w:pPr>
      <w:r w:rsidRPr="0065378F">
        <w:rPr>
          <w:bCs/>
          <w:iCs/>
          <w:lang w:val="en-US"/>
        </w:rPr>
        <w:t xml:space="preserve">• </w:t>
      </w:r>
      <w:r w:rsidRPr="0065378F">
        <w:rPr>
          <w:bCs/>
          <w:i/>
          <w:iCs/>
          <w:lang w:val="en-US"/>
        </w:rPr>
        <w:t xml:space="preserve">Relationship Lending and the Credibility of Green Commitments in </w:t>
      </w:r>
      <w:proofErr w:type="gramStart"/>
      <w:r w:rsidRPr="0065378F">
        <w:rPr>
          <w:bCs/>
          <w:i/>
          <w:iCs/>
          <w:lang w:val="en-US"/>
        </w:rPr>
        <w:t>Banking</w:t>
      </w:r>
      <w:r w:rsidRPr="0065378F">
        <w:rPr>
          <w:bCs/>
          <w:iCs/>
          <w:lang w:val="en-US"/>
        </w:rPr>
        <w:t xml:space="preserve"> :</w:t>
      </w:r>
      <w:proofErr w:type="gramEnd"/>
      <w:r w:rsidRPr="0065378F">
        <w:rPr>
          <w:bCs/>
          <w:iCs/>
          <w:lang w:val="en-US"/>
        </w:rPr>
        <w:t xml:space="preserve"> </w:t>
      </w:r>
      <w:r w:rsidRPr="0065378F">
        <w:rPr>
          <w:bCs/>
          <w:i/>
          <w:iCs/>
          <w:lang w:val="en-US"/>
        </w:rPr>
        <w:t xml:space="preserve">Evidence for Supervisors, with Lessons for Emerging Asia-Pacific Markets </w:t>
      </w:r>
    </w:p>
    <w:p w:rsidR="0065378F" w:rsidRPr="0065378F" w:rsidRDefault="0065378F" w:rsidP="0065378F">
      <w:pPr>
        <w:tabs>
          <w:tab w:val="left" w:pos="1701"/>
          <w:tab w:val="left" w:pos="1927"/>
        </w:tabs>
        <w:spacing w:line="360" w:lineRule="atLeast"/>
        <w:ind w:left="840" w:hanging="220"/>
        <w:rPr>
          <w:bCs/>
          <w:iCs/>
          <w:lang w:val="en-US"/>
        </w:rPr>
      </w:pPr>
      <w:r w:rsidRPr="0065378F">
        <w:rPr>
          <w:bCs/>
          <w:iCs/>
          <w:lang w:val="en-US"/>
        </w:rPr>
        <w:t>-Invited Distinguished Speaker, 1</w:t>
      </w:r>
      <w:r w:rsidRPr="0065378F">
        <w:rPr>
          <w:bCs/>
          <w:iCs/>
          <w:vertAlign w:val="superscript"/>
          <w:lang w:val="en-US"/>
        </w:rPr>
        <w:t>st</w:t>
      </w:r>
      <w:r w:rsidRPr="0065378F">
        <w:rPr>
          <w:bCs/>
          <w:iCs/>
          <w:lang w:val="en-US"/>
        </w:rPr>
        <w:t xml:space="preserve"> Biennial Policy Conference (BPC) 2026, Asia-Pacific Central Bank Conference, </w:t>
      </w:r>
      <w:r w:rsidRPr="0065378F">
        <w:rPr>
          <w:bCs/>
          <w:i/>
          <w:iCs/>
          <w:lang w:val="en-US"/>
        </w:rPr>
        <w:t>Denpasar</w:t>
      </w:r>
      <w:r w:rsidRPr="0065378F">
        <w:rPr>
          <w:bCs/>
          <w:iCs/>
          <w:lang w:val="en-US"/>
        </w:rPr>
        <w:t>, 27-27 August, 2026.</w:t>
      </w:r>
    </w:p>
    <w:p w:rsidR="0065378F" w:rsidRDefault="0065378F" w:rsidP="00005369">
      <w:pPr>
        <w:tabs>
          <w:tab w:val="left" w:pos="1701"/>
          <w:tab w:val="left" w:pos="1927"/>
        </w:tabs>
        <w:spacing w:line="360" w:lineRule="atLeast"/>
        <w:ind w:left="840" w:hanging="220"/>
        <w:rPr>
          <w:bCs/>
          <w:iCs/>
          <w:lang w:val="en-US"/>
        </w:rPr>
      </w:pPr>
    </w:p>
    <w:p w:rsidR="00DF447E" w:rsidRDefault="00DF447E" w:rsidP="00DF447E">
      <w:pPr>
        <w:tabs>
          <w:tab w:val="left" w:pos="1701"/>
          <w:tab w:val="left" w:pos="1927"/>
        </w:tabs>
        <w:spacing w:line="360" w:lineRule="atLeast"/>
        <w:rPr>
          <w:bCs/>
          <w:iCs/>
          <w:lang w:val="en-US"/>
        </w:rPr>
      </w:pPr>
    </w:p>
    <w:p w:rsidR="00DF447E" w:rsidRPr="00DF447E" w:rsidRDefault="00DF447E" w:rsidP="00DF447E">
      <w:pPr>
        <w:tabs>
          <w:tab w:val="left" w:pos="1701"/>
          <w:tab w:val="left" w:pos="1927"/>
        </w:tabs>
        <w:spacing w:line="360" w:lineRule="atLeast"/>
        <w:ind w:left="840" w:hanging="220"/>
        <w:rPr>
          <w:bCs/>
          <w:i/>
          <w:iCs/>
          <w:lang w:val="en-GB"/>
        </w:rPr>
      </w:pPr>
      <w:r>
        <w:rPr>
          <w:bCs/>
          <w:iCs/>
          <w:lang w:val="en-US"/>
        </w:rPr>
        <w:lastRenderedPageBreak/>
        <w:t>• “</w:t>
      </w:r>
      <w:r>
        <w:rPr>
          <w:bCs/>
          <w:i/>
          <w:iCs/>
          <w:lang w:val="en-US"/>
        </w:rPr>
        <w:t>Close Ties, Distant Goals? Relationship Lending and the Credibility of Green Commitments in Banking</w:t>
      </w:r>
      <w:r>
        <w:rPr>
          <w:bCs/>
          <w:i/>
          <w:iCs/>
          <w:lang w:val="en-GB"/>
        </w:rPr>
        <w:t>”,</w:t>
      </w:r>
    </w:p>
    <w:p w:rsidR="00DF447E" w:rsidRPr="00DF447E" w:rsidRDefault="00DF447E" w:rsidP="00DF447E">
      <w:pPr>
        <w:tabs>
          <w:tab w:val="left" w:pos="1701"/>
          <w:tab w:val="left" w:pos="1927"/>
        </w:tabs>
        <w:spacing w:line="360" w:lineRule="atLeast"/>
        <w:ind w:left="840" w:hanging="220"/>
        <w:rPr>
          <w:bCs/>
          <w:iCs/>
          <w:lang w:val="en-GB"/>
        </w:rPr>
      </w:pPr>
      <w:r>
        <w:rPr>
          <w:bCs/>
          <w:iCs/>
          <w:lang w:val="en-GB"/>
        </w:rPr>
        <w:t xml:space="preserve">-Keynote Speech, 2026 International Conference Green Finance, Technological Innovatopn and Global Governance, 29-30 August, Shanghai. </w:t>
      </w:r>
    </w:p>
    <w:p w:rsidR="00DF447E" w:rsidRPr="00DF447E" w:rsidRDefault="00DF447E" w:rsidP="00DF447E">
      <w:pPr>
        <w:tabs>
          <w:tab w:val="left" w:pos="1701"/>
          <w:tab w:val="left" w:pos="1927"/>
        </w:tabs>
        <w:spacing w:line="360" w:lineRule="atLeast"/>
        <w:ind w:left="840" w:hanging="220"/>
        <w:rPr>
          <w:bCs/>
          <w:iCs/>
          <w:lang w:val="en-US"/>
        </w:rPr>
      </w:pPr>
      <w:r>
        <w:rPr>
          <w:bCs/>
          <w:iCs/>
          <w:lang w:val="en-GB"/>
        </w:rPr>
        <w:t xml:space="preserve">-Keynote Speech, </w:t>
      </w:r>
      <w:r>
        <w:rPr>
          <w:bCs/>
          <w:iCs/>
          <w:lang w:val="en-US"/>
        </w:rPr>
        <w:t>The 2026 Sydney Banking and Financial Stability Conference (SBFC2026), 30 November- 1 December 2026, Sydney.</w:t>
      </w:r>
    </w:p>
    <w:p w:rsidR="00DF447E" w:rsidRPr="00005369" w:rsidRDefault="00DF447E" w:rsidP="00005369">
      <w:pPr>
        <w:tabs>
          <w:tab w:val="left" w:pos="1701"/>
          <w:tab w:val="left" w:pos="1927"/>
        </w:tabs>
        <w:spacing w:line="360" w:lineRule="atLeast"/>
        <w:ind w:left="840" w:hanging="220"/>
        <w:rPr>
          <w:bCs/>
          <w:iCs/>
          <w:lang w:val="en-US"/>
        </w:rPr>
      </w:pPr>
    </w:p>
    <w:p w:rsidR="00005369" w:rsidRPr="00FB20F8" w:rsidRDefault="00005369" w:rsidP="00FB20F8">
      <w:pPr>
        <w:tabs>
          <w:tab w:val="left" w:pos="1701"/>
          <w:tab w:val="left" w:pos="1927"/>
        </w:tabs>
        <w:spacing w:line="360" w:lineRule="atLeast"/>
        <w:ind w:left="840" w:hanging="220"/>
        <w:rPr>
          <w:iCs/>
          <w:lang w:val="en-US"/>
        </w:rPr>
      </w:pPr>
    </w:p>
    <w:p w:rsidR="00FB20F8" w:rsidRDefault="00FB20F8" w:rsidP="00CA3522">
      <w:pPr>
        <w:tabs>
          <w:tab w:val="left" w:pos="1701"/>
          <w:tab w:val="left" w:pos="1927"/>
        </w:tabs>
        <w:spacing w:line="360" w:lineRule="atLeast"/>
        <w:ind w:left="840" w:hanging="220"/>
        <w:rPr>
          <w:lang w:val="en-US"/>
        </w:rPr>
      </w:pPr>
    </w:p>
    <w:p w:rsidR="00CA3522" w:rsidRPr="00CA3522" w:rsidRDefault="00CA3522" w:rsidP="00CA3522">
      <w:pPr>
        <w:tabs>
          <w:tab w:val="left" w:pos="1701"/>
          <w:tab w:val="left" w:pos="1927"/>
        </w:tabs>
        <w:spacing w:line="360" w:lineRule="atLeast"/>
        <w:ind w:left="840" w:hanging="220"/>
        <w:rPr>
          <w:lang w:val="en-US"/>
        </w:rPr>
      </w:pPr>
    </w:p>
    <w:p w:rsidR="00B060E8" w:rsidRPr="00B060E8" w:rsidRDefault="00B060E8" w:rsidP="00B060E8">
      <w:pPr>
        <w:tabs>
          <w:tab w:val="left" w:pos="1701"/>
          <w:tab w:val="left" w:pos="1927"/>
        </w:tabs>
        <w:spacing w:line="360" w:lineRule="atLeast"/>
        <w:rPr>
          <w:bCs/>
          <w:lang w:val="en-US"/>
        </w:rPr>
      </w:pPr>
    </w:p>
    <w:p w:rsidR="001078DE" w:rsidRPr="001078DE" w:rsidRDefault="001078DE" w:rsidP="001B2596">
      <w:pPr>
        <w:tabs>
          <w:tab w:val="left" w:pos="1701"/>
          <w:tab w:val="left" w:pos="1927"/>
        </w:tabs>
        <w:spacing w:line="360" w:lineRule="atLeast"/>
        <w:ind w:left="840" w:hanging="220"/>
        <w:rPr>
          <w:bCs/>
          <w:lang w:val="en-US"/>
        </w:rPr>
      </w:pPr>
    </w:p>
    <w:p w:rsidR="001078DE" w:rsidRPr="009F627D" w:rsidRDefault="001078DE" w:rsidP="001B2596">
      <w:pPr>
        <w:tabs>
          <w:tab w:val="left" w:pos="1701"/>
          <w:tab w:val="left" w:pos="1927"/>
        </w:tabs>
        <w:spacing w:line="360" w:lineRule="atLeast"/>
        <w:ind w:left="840" w:hanging="220"/>
        <w:rPr>
          <w:bCs/>
          <w:iCs/>
          <w:lang w:val="en-US"/>
        </w:rPr>
      </w:pPr>
    </w:p>
    <w:p w:rsidR="001B2596" w:rsidRPr="00655C37" w:rsidRDefault="001B2596" w:rsidP="00655C37">
      <w:pPr>
        <w:tabs>
          <w:tab w:val="left" w:pos="1701"/>
          <w:tab w:val="left" w:pos="1927"/>
        </w:tabs>
        <w:spacing w:line="360" w:lineRule="atLeast"/>
        <w:ind w:left="840" w:hanging="220"/>
        <w:rPr>
          <w:bCs/>
          <w:iCs/>
          <w:lang w:val="en-US"/>
        </w:rPr>
      </w:pPr>
    </w:p>
    <w:p w:rsidR="00655C37" w:rsidRPr="00D76371" w:rsidRDefault="00655C37" w:rsidP="00D76371">
      <w:pPr>
        <w:tabs>
          <w:tab w:val="left" w:pos="1701"/>
          <w:tab w:val="left" w:pos="1927"/>
        </w:tabs>
        <w:spacing w:line="360" w:lineRule="atLeast"/>
        <w:ind w:left="840" w:hanging="220"/>
        <w:rPr>
          <w:b/>
          <w:bCs/>
          <w:iCs/>
          <w:lang w:val="en-US"/>
        </w:rPr>
      </w:pPr>
    </w:p>
    <w:p w:rsidR="00D76371" w:rsidRPr="00D76371" w:rsidRDefault="00D76371" w:rsidP="00D76371">
      <w:pPr>
        <w:tabs>
          <w:tab w:val="left" w:pos="1701"/>
          <w:tab w:val="left" w:pos="1927"/>
        </w:tabs>
        <w:spacing w:line="360" w:lineRule="atLeast"/>
        <w:ind w:left="840" w:hanging="220"/>
        <w:rPr>
          <w:bCs/>
          <w:iCs/>
          <w:lang w:val="en-US"/>
        </w:rPr>
      </w:pPr>
    </w:p>
    <w:p w:rsidR="00D76371" w:rsidRPr="00996536" w:rsidRDefault="00D76371" w:rsidP="00601D8A">
      <w:pPr>
        <w:tabs>
          <w:tab w:val="left" w:pos="1701"/>
          <w:tab w:val="left" w:pos="1927"/>
        </w:tabs>
        <w:spacing w:line="360" w:lineRule="atLeast"/>
        <w:ind w:left="840" w:hanging="220"/>
        <w:rPr>
          <w:bCs/>
          <w:iCs/>
          <w:lang w:val="en-US"/>
        </w:rPr>
      </w:pPr>
    </w:p>
    <w:sectPr w:rsidR="00D76371" w:rsidRPr="00996536" w:rsidSect="004C16FF">
      <w:type w:val="continuous"/>
      <w:pgSz w:w="11880" w:h="16820"/>
      <w:pgMar w:top="851" w:right="1134" w:bottom="567" w:left="1134"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6D53" w:rsidRDefault="00A86D53">
      <w:r>
        <w:separator/>
      </w:r>
    </w:p>
  </w:endnote>
  <w:endnote w:type="continuationSeparator" w:id="0">
    <w:p w:rsidR="00A86D53" w:rsidRDefault="00A8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hicago">
    <w:altName w:val="Arial"/>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altName w:val="Times New Roman"/>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3ACE" w:rsidRDefault="001E3ACE" w:rsidP="00BB27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1E3ACE" w:rsidRDefault="001E3ACE" w:rsidP="00B86AB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3ACE" w:rsidRDefault="001E3ACE" w:rsidP="00BB27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rsidR="001E3ACE" w:rsidRDefault="001E3ACE" w:rsidP="00B86ABB">
    <w:pPr>
      <w:pStyle w:val="Pieddepage"/>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6D53" w:rsidRDefault="00A86D53">
      <w:r>
        <w:separator/>
      </w:r>
    </w:p>
  </w:footnote>
  <w:footnote w:type="continuationSeparator" w:id="0">
    <w:p w:rsidR="00A86D53" w:rsidRDefault="00A86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4D7B"/>
    <w:multiLevelType w:val="hybridMultilevel"/>
    <w:tmpl w:val="EB468580"/>
    <w:lvl w:ilvl="0" w:tplc="E6F00256">
      <w:numFmt w:val="bullet"/>
      <w:lvlText w:val="-"/>
      <w:lvlJc w:val="left"/>
      <w:pPr>
        <w:tabs>
          <w:tab w:val="num" w:pos="1320"/>
        </w:tabs>
        <w:ind w:left="1320" w:hanging="360"/>
      </w:pPr>
      <w:rPr>
        <w:rFonts w:ascii="Times New Roman" w:eastAsia="Times New Roman" w:hAnsi="Times New Roman" w:cs="Times New Roman" w:hint="default"/>
      </w:rPr>
    </w:lvl>
    <w:lvl w:ilvl="1" w:tplc="040C0003">
      <w:start w:val="1"/>
      <w:numFmt w:val="bullet"/>
      <w:lvlText w:val="o"/>
      <w:lvlJc w:val="left"/>
      <w:pPr>
        <w:tabs>
          <w:tab w:val="num" w:pos="2040"/>
        </w:tabs>
        <w:ind w:left="2040" w:hanging="360"/>
      </w:pPr>
      <w:rPr>
        <w:rFonts w:ascii="Courier New" w:hAnsi="Courier New" w:hint="default"/>
      </w:rPr>
    </w:lvl>
    <w:lvl w:ilvl="2" w:tplc="040C0005" w:tentative="1">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0FBB2DCE"/>
    <w:multiLevelType w:val="hybridMultilevel"/>
    <w:tmpl w:val="5FF22AAC"/>
    <w:lvl w:ilvl="0" w:tplc="CCE62A9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3790A"/>
    <w:multiLevelType w:val="hybridMultilevel"/>
    <w:tmpl w:val="7C286682"/>
    <w:lvl w:ilvl="0" w:tplc="C396FB92">
      <w:start w:val="1"/>
      <w:numFmt w:val="decimal"/>
      <w:lvlText w:val="%1."/>
      <w:lvlJc w:val="left"/>
      <w:pPr>
        <w:tabs>
          <w:tab w:val="num" w:pos="720"/>
        </w:tabs>
        <w:ind w:left="720" w:hanging="360"/>
      </w:pPr>
      <w:rPr>
        <w:rFonts w:hint="default"/>
        <w:i w:val="0"/>
      </w:rPr>
    </w:lvl>
    <w:lvl w:ilvl="1" w:tplc="04090001">
      <w:start w:val="1"/>
      <w:numFmt w:val="bullet"/>
      <w:lvlText w:val=""/>
      <w:lvlJc w:val="left"/>
      <w:pPr>
        <w:tabs>
          <w:tab w:val="num" w:pos="1440"/>
        </w:tabs>
        <w:ind w:left="1440" w:hanging="360"/>
      </w:pPr>
      <w:rPr>
        <w:rFonts w:ascii="Symbol" w:hAnsi="Symbol"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9871B3"/>
    <w:multiLevelType w:val="hybridMultilevel"/>
    <w:tmpl w:val="21E6FCB2"/>
    <w:lvl w:ilvl="0" w:tplc="3C5CE3E4">
      <w:numFmt w:val="bullet"/>
      <w:lvlText w:val="-"/>
      <w:lvlJc w:val="left"/>
      <w:pPr>
        <w:tabs>
          <w:tab w:val="num" w:pos="1320"/>
        </w:tabs>
        <w:ind w:left="1320" w:hanging="360"/>
      </w:pPr>
      <w:rPr>
        <w:rFonts w:ascii="Times New Roman" w:eastAsia="Times New Roman" w:hAnsi="Times New Roman" w:cs="Times New Roman" w:hint="default"/>
      </w:rPr>
    </w:lvl>
    <w:lvl w:ilvl="1" w:tplc="040C0003" w:tentative="1">
      <w:start w:val="1"/>
      <w:numFmt w:val="bullet"/>
      <w:lvlText w:val="o"/>
      <w:lvlJc w:val="left"/>
      <w:pPr>
        <w:tabs>
          <w:tab w:val="num" w:pos="2040"/>
        </w:tabs>
        <w:ind w:left="2040" w:hanging="360"/>
      </w:pPr>
      <w:rPr>
        <w:rFonts w:ascii="Courier New" w:hAnsi="Courier New" w:hint="default"/>
      </w:rPr>
    </w:lvl>
    <w:lvl w:ilvl="2" w:tplc="040C0005" w:tentative="1">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394549D1"/>
    <w:multiLevelType w:val="hybridMultilevel"/>
    <w:tmpl w:val="7D049668"/>
    <w:lvl w:ilvl="0" w:tplc="8EA6D770">
      <w:numFmt w:val="bullet"/>
      <w:lvlText w:val="-"/>
      <w:lvlJc w:val="left"/>
      <w:pPr>
        <w:tabs>
          <w:tab w:val="num" w:pos="1069"/>
        </w:tabs>
        <w:ind w:left="1069" w:hanging="360"/>
      </w:pPr>
      <w:rPr>
        <w:rFonts w:ascii="Times New Roman" w:eastAsia="Times New Roman" w:hAnsi="Times New Roman" w:cs="Times New Roman" w:hint="default"/>
        <w:sz w:val="24"/>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72283AA0"/>
    <w:multiLevelType w:val="hybridMultilevel"/>
    <w:tmpl w:val="0FBCFB6C"/>
    <w:lvl w:ilvl="0" w:tplc="74C04E56">
      <w:start w:val="2"/>
      <w:numFmt w:val="bullet"/>
      <w:lvlText w:val="-"/>
      <w:lvlJc w:val="left"/>
      <w:pPr>
        <w:ind w:left="1429" w:hanging="360"/>
      </w:pPr>
      <w:rPr>
        <w:rFonts w:ascii="Times New Roman" w:eastAsia="Times New Roman"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16cid:durableId="1320957901">
    <w:abstractNumId w:val="3"/>
  </w:num>
  <w:num w:numId="2" w16cid:durableId="649217067">
    <w:abstractNumId w:val="4"/>
  </w:num>
  <w:num w:numId="3" w16cid:durableId="1429813656">
    <w:abstractNumId w:val="0"/>
  </w:num>
  <w:num w:numId="4" w16cid:durableId="190338160">
    <w:abstractNumId w:val="1"/>
  </w:num>
  <w:num w:numId="5" w16cid:durableId="1533228547">
    <w:abstractNumId w:val="5"/>
  </w:num>
  <w:num w:numId="6" w16cid:durableId="12461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3F6"/>
    <w:rsid w:val="0000008D"/>
    <w:rsid w:val="00002B4C"/>
    <w:rsid w:val="000030EB"/>
    <w:rsid w:val="00005369"/>
    <w:rsid w:val="00014497"/>
    <w:rsid w:val="000149E8"/>
    <w:rsid w:val="00015423"/>
    <w:rsid w:val="00016FE6"/>
    <w:rsid w:val="00017165"/>
    <w:rsid w:val="0001755A"/>
    <w:rsid w:val="000178AD"/>
    <w:rsid w:val="0002215B"/>
    <w:rsid w:val="000223BF"/>
    <w:rsid w:val="00022B3F"/>
    <w:rsid w:val="00026EF8"/>
    <w:rsid w:val="000271F9"/>
    <w:rsid w:val="000304C4"/>
    <w:rsid w:val="00031C17"/>
    <w:rsid w:val="00031CFC"/>
    <w:rsid w:val="00032301"/>
    <w:rsid w:val="00032707"/>
    <w:rsid w:val="000332A7"/>
    <w:rsid w:val="00035352"/>
    <w:rsid w:val="00035FCC"/>
    <w:rsid w:val="000367E8"/>
    <w:rsid w:val="00040DD9"/>
    <w:rsid w:val="00041FD1"/>
    <w:rsid w:val="00042292"/>
    <w:rsid w:val="00043FD2"/>
    <w:rsid w:val="000449C1"/>
    <w:rsid w:val="00045006"/>
    <w:rsid w:val="0004792E"/>
    <w:rsid w:val="00047BF5"/>
    <w:rsid w:val="00050E4A"/>
    <w:rsid w:val="000516B5"/>
    <w:rsid w:val="00053134"/>
    <w:rsid w:val="000531F5"/>
    <w:rsid w:val="00053249"/>
    <w:rsid w:val="00055464"/>
    <w:rsid w:val="0005646A"/>
    <w:rsid w:val="00060EFD"/>
    <w:rsid w:val="00061964"/>
    <w:rsid w:val="00061D1C"/>
    <w:rsid w:val="00061E35"/>
    <w:rsid w:val="000627DC"/>
    <w:rsid w:val="00062C24"/>
    <w:rsid w:val="00063199"/>
    <w:rsid w:val="000633C8"/>
    <w:rsid w:val="00063BFD"/>
    <w:rsid w:val="00064987"/>
    <w:rsid w:val="00066B83"/>
    <w:rsid w:val="000679CC"/>
    <w:rsid w:val="00070C8D"/>
    <w:rsid w:val="00071A32"/>
    <w:rsid w:val="00071F3C"/>
    <w:rsid w:val="000740C4"/>
    <w:rsid w:val="000746E2"/>
    <w:rsid w:val="00076470"/>
    <w:rsid w:val="0008116E"/>
    <w:rsid w:val="00081592"/>
    <w:rsid w:val="00081917"/>
    <w:rsid w:val="000847B5"/>
    <w:rsid w:val="00084A2E"/>
    <w:rsid w:val="000861D5"/>
    <w:rsid w:val="00086487"/>
    <w:rsid w:val="00086718"/>
    <w:rsid w:val="00086AE6"/>
    <w:rsid w:val="000970D6"/>
    <w:rsid w:val="00097578"/>
    <w:rsid w:val="000A0195"/>
    <w:rsid w:val="000A2618"/>
    <w:rsid w:val="000A3687"/>
    <w:rsid w:val="000A428F"/>
    <w:rsid w:val="000A4CA9"/>
    <w:rsid w:val="000A78E6"/>
    <w:rsid w:val="000A7C2C"/>
    <w:rsid w:val="000B08F1"/>
    <w:rsid w:val="000B0C52"/>
    <w:rsid w:val="000B1B8C"/>
    <w:rsid w:val="000B3396"/>
    <w:rsid w:val="000B6734"/>
    <w:rsid w:val="000B6E3B"/>
    <w:rsid w:val="000C12DC"/>
    <w:rsid w:val="000C1581"/>
    <w:rsid w:val="000C3790"/>
    <w:rsid w:val="000C3F61"/>
    <w:rsid w:val="000C41F3"/>
    <w:rsid w:val="000C4A3C"/>
    <w:rsid w:val="000C4B81"/>
    <w:rsid w:val="000D0C9C"/>
    <w:rsid w:val="000D2965"/>
    <w:rsid w:val="000D39E1"/>
    <w:rsid w:val="000E23B1"/>
    <w:rsid w:val="000E2E50"/>
    <w:rsid w:val="000E3C17"/>
    <w:rsid w:val="000E45C9"/>
    <w:rsid w:val="000E4607"/>
    <w:rsid w:val="000F23F8"/>
    <w:rsid w:val="000F3CE6"/>
    <w:rsid w:val="000F4BE7"/>
    <w:rsid w:val="000F67AC"/>
    <w:rsid w:val="000F754E"/>
    <w:rsid w:val="00103A84"/>
    <w:rsid w:val="001041D2"/>
    <w:rsid w:val="001045CD"/>
    <w:rsid w:val="00104E5C"/>
    <w:rsid w:val="00106883"/>
    <w:rsid w:val="001078DE"/>
    <w:rsid w:val="00107A3B"/>
    <w:rsid w:val="00112F78"/>
    <w:rsid w:val="00114034"/>
    <w:rsid w:val="00114EE2"/>
    <w:rsid w:val="0011561C"/>
    <w:rsid w:val="001169BC"/>
    <w:rsid w:val="00117964"/>
    <w:rsid w:val="00124167"/>
    <w:rsid w:val="001258D0"/>
    <w:rsid w:val="00126416"/>
    <w:rsid w:val="001306A6"/>
    <w:rsid w:val="00133878"/>
    <w:rsid w:val="001345BD"/>
    <w:rsid w:val="00135662"/>
    <w:rsid w:val="00136803"/>
    <w:rsid w:val="00137C7B"/>
    <w:rsid w:val="0014521D"/>
    <w:rsid w:val="0014621B"/>
    <w:rsid w:val="00150D71"/>
    <w:rsid w:val="00151EB6"/>
    <w:rsid w:val="0015215E"/>
    <w:rsid w:val="0015221E"/>
    <w:rsid w:val="001539AF"/>
    <w:rsid w:val="001546AC"/>
    <w:rsid w:val="00155108"/>
    <w:rsid w:val="0015521A"/>
    <w:rsid w:val="00155699"/>
    <w:rsid w:val="00155DCC"/>
    <w:rsid w:val="00156622"/>
    <w:rsid w:val="00157696"/>
    <w:rsid w:val="001617AC"/>
    <w:rsid w:val="00162406"/>
    <w:rsid w:val="00162799"/>
    <w:rsid w:val="00166633"/>
    <w:rsid w:val="00166B76"/>
    <w:rsid w:val="00167311"/>
    <w:rsid w:val="00170E19"/>
    <w:rsid w:val="00170F16"/>
    <w:rsid w:val="00171CD6"/>
    <w:rsid w:val="00172456"/>
    <w:rsid w:val="00173FD9"/>
    <w:rsid w:val="0017691C"/>
    <w:rsid w:val="00180333"/>
    <w:rsid w:val="00180599"/>
    <w:rsid w:val="00181579"/>
    <w:rsid w:val="0018326F"/>
    <w:rsid w:val="0018339B"/>
    <w:rsid w:val="001843C0"/>
    <w:rsid w:val="0018477C"/>
    <w:rsid w:val="001871D3"/>
    <w:rsid w:val="0019036F"/>
    <w:rsid w:val="00190892"/>
    <w:rsid w:val="00190E2A"/>
    <w:rsid w:val="00192223"/>
    <w:rsid w:val="0019282F"/>
    <w:rsid w:val="001933E5"/>
    <w:rsid w:val="00193EF6"/>
    <w:rsid w:val="00194468"/>
    <w:rsid w:val="00195D9F"/>
    <w:rsid w:val="001A0C50"/>
    <w:rsid w:val="001A0E96"/>
    <w:rsid w:val="001A2C0D"/>
    <w:rsid w:val="001A2D16"/>
    <w:rsid w:val="001A4657"/>
    <w:rsid w:val="001A4FD7"/>
    <w:rsid w:val="001A6123"/>
    <w:rsid w:val="001A61AF"/>
    <w:rsid w:val="001A7623"/>
    <w:rsid w:val="001B02CE"/>
    <w:rsid w:val="001B036F"/>
    <w:rsid w:val="001B2596"/>
    <w:rsid w:val="001B3151"/>
    <w:rsid w:val="001B365E"/>
    <w:rsid w:val="001B40E6"/>
    <w:rsid w:val="001B4600"/>
    <w:rsid w:val="001B5254"/>
    <w:rsid w:val="001B527F"/>
    <w:rsid w:val="001B5BE4"/>
    <w:rsid w:val="001B66B7"/>
    <w:rsid w:val="001B696A"/>
    <w:rsid w:val="001B7860"/>
    <w:rsid w:val="001B78AC"/>
    <w:rsid w:val="001B7AA6"/>
    <w:rsid w:val="001C2BFC"/>
    <w:rsid w:val="001C6439"/>
    <w:rsid w:val="001C6C15"/>
    <w:rsid w:val="001C79DC"/>
    <w:rsid w:val="001D1FCA"/>
    <w:rsid w:val="001D3A89"/>
    <w:rsid w:val="001D5254"/>
    <w:rsid w:val="001D58E7"/>
    <w:rsid w:val="001D5BA5"/>
    <w:rsid w:val="001D5DCE"/>
    <w:rsid w:val="001D64E7"/>
    <w:rsid w:val="001D67F9"/>
    <w:rsid w:val="001D6A49"/>
    <w:rsid w:val="001D6B2C"/>
    <w:rsid w:val="001D722A"/>
    <w:rsid w:val="001E2099"/>
    <w:rsid w:val="001E230E"/>
    <w:rsid w:val="001E3ACE"/>
    <w:rsid w:val="001E3CF0"/>
    <w:rsid w:val="001E4658"/>
    <w:rsid w:val="001E5C28"/>
    <w:rsid w:val="001E5E0D"/>
    <w:rsid w:val="001E646A"/>
    <w:rsid w:val="001F036C"/>
    <w:rsid w:val="001F448E"/>
    <w:rsid w:val="001F4F18"/>
    <w:rsid w:val="001F5CA1"/>
    <w:rsid w:val="001F5FC0"/>
    <w:rsid w:val="001F76AC"/>
    <w:rsid w:val="002009C6"/>
    <w:rsid w:val="00202D15"/>
    <w:rsid w:val="00203E01"/>
    <w:rsid w:val="002048E6"/>
    <w:rsid w:val="00205E85"/>
    <w:rsid w:val="00207ED2"/>
    <w:rsid w:val="00210010"/>
    <w:rsid w:val="002112B9"/>
    <w:rsid w:val="002127D8"/>
    <w:rsid w:val="00212B40"/>
    <w:rsid w:val="00212BAD"/>
    <w:rsid w:val="00212DDA"/>
    <w:rsid w:val="002133C2"/>
    <w:rsid w:val="00214CC6"/>
    <w:rsid w:val="00215277"/>
    <w:rsid w:val="002159E1"/>
    <w:rsid w:val="00215A14"/>
    <w:rsid w:val="00215FE0"/>
    <w:rsid w:val="00216E4B"/>
    <w:rsid w:val="00220ED4"/>
    <w:rsid w:val="00221A79"/>
    <w:rsid w:val="00222780"/>
    <w:rsid w:val="00226EA7"/>
    <w:rsid w:val="002322D7"/>
    <w:rsid w:val="0023266F"/>
    <w:rsid w:val="00234733"/>
    <w:rsid w:val="00235669"/>
    <w:rsid w:val="002357FB"/>
    <w:rsid w:val="00240525"/>
    <w:rsid w:val="002405FE"/>
    <w:rsid w:val="00242D37"/>
    <w:rsid w:val="002445D1"/>
    <w:rsid w:val="00245AA2"/>
    <w:rsid w:val="00245B2B"/>
    <w:rsid w:val="00245C69"/>
    <w:rsid w:val="002461C4"/>
    <w:rsid w:val="00247E20"/>
    <w:rsid w:val="00250A3D"/>
    <w:rsid w:val="00250CF8"/>
    <w:rsid w:val="00251F33"/>
    <w:rsid w:val="00252881"/>
    <w:rsid w:val="00252FEE"/>
    <w:rsid w:val="00261443"/>
    <w:rsid w:val="0026419E"/>
    <w:rsid w:val="00264890"/>
    <w:rsid w:val="00271C64"/>
    <w:rsid w:val="00271E8B"/>
    <w:rsid w:val="00273B3D"/>
    <w:rsid w:val="00274258"/>
    <w:rsid w:val="00276D2C"/>
    <w:rsid w:val="00277268"/>
    <w:rsid w:val="002839EC"/>
    <w:rsid w:val="00283CC3"/>
    <w:rsid w:val="00284C22"/>
    <w:rsid w:val="00285868"/>
    <w:rsid w:val="00293629"/>
    <w:rsid w:val="002947EF"/>
    <w:rsid w:val="00295D87"/>
    <w:rsid w:val="00296B24"/>
    <w:rsid w:val="00296DC4"/>
    <w:rsid w:val="00297CAB"/>
    <w:rsid w:val="002A02FE"/>
    <w:rsid w:val="002A1E89"/>
    <w:rsid w:val="002A2ACA"/>
    <w:rsid w:val="002A5850"/>
    <w:rsid w:val="002A5BEA"/>
    <w:rsid w:val="002A7718"/>
    <w:rsid w:val="002A7F03"/>
    <w:rsid w:val="002B2066"/>
    <w:rsid w:val="002B4983"/>
    <w:rsid w:val="002C32D4"/>
    <w:rsid w:val="002C3708"/>
    <w:rsid w:val="002C6676"/>
    <w:rsid w:val="002C6990"/>
    <w:rsid w:val="002D01C7"/>
    <w:rsid w:val="002D2A40"/>
    <w:rsid w:val="002D2DF5"/>
    <w:rsid w:val="002D3DF6"/>
    <w:rsid w:val="002D42DC"/>
    <w:rsid w:val="002D4766"/>
    <w:rsid w:val="002D49BA"/>
    <w:rsid w:val="002D588F"/>
    <w:rsid w:val="002D5898"/>
    <w:rsid w:val="002D59CA"/>
    <w:rsid w:val="002D65B2"/>
    <w:rsid w:val="002D6ADD"/>
    <w:rsid w:val="002E06A8"/>
    <w:rsid w:val="002E0BC0"/>
    <w:rsid w:val="002E1B2F"/>
    <w:rsid w:val="002E2D2B"/>
    <w:rsid w:val="002E3B0F"/>
    <w:rsid w:val="002E3C2B"/>
    <w:rsid w:val="002E57D7"/>
    <w:rsid w:val="002E5F07"/>
    <w:rsid w:val="002E6914"/>
    <w:rsid w:val="002E6B5F"/>
    <w:rsid w:val="002E7D72"/>
    <w:rsid w:val="002F0240"/>
    <w:rsid w:val="002F1FEF"/>
    <w:rsid w:val="002F2528"/>
    <w:rsid w:val="002F25A6"/>
    <w:rsid w:val="002F55F6"/>
    <w:rsid w:val="002F58F3"/>
    <w:rsid w:val="002F6032"/>
    <w:rsid w:val="00300E20"/>
    <w:rsid w:val="003026B4"/>
    <w:rsid w:val="00302F8A"/>
    <w:rsid w:val="00304D9D"/>
    <w:rsid w:val="00306134"/>
    <w:rsid w:val="00307288"/>
    <w:rsid w:val="0031020D"/>
    <w:rsid w:val="003112C2"/>
    <w:rsid w:val="00312A1E"/>
    <w:rsid w:val="00316556"/>
    <w:rsid w:val="00316D7C"/>
    <w:rsid w:val="003172D1"/>
    <w:rsid w:val="003176F7"/>
    <w:rsid w:val="00320CCB"/>
    <w:rsid w:val="0032115B"/>
    <w:rsid w:val="003225E8"/>
    <w:rsid w:val="00323046"/>
    <w:rsid w:val="003302D2"/>
    <w:rsid w:val="0033048A"/>
    <w:rsid w:val="00332998"/>
    <w:rsid w:val="00332DC3"/>
    <w:rsid w:val="00334132"/>
    <w:rsid w:val="003359E8"/>
    <w:rsid w:val="00337211"/>
    <w:rsid w:val="00341DA1"/>
    <w:rsid w:val="0034460A"/>
    <w:rsid w:val="00347B69"/>
    <w:rsid w:val="00350BA6"/>
    <w:rsid w:val="003524AD"/>
    <w:rsid w:val="00355E76"/>
    <w:rsid w:val="0036086C"/>
    <w:rsid w:val="00361EA4"/>
    <w:rsid w:val="003635D1"/>
    <w:rsid w:val="0036369A"/>
    <w:rsid w:val="00364A91"/>
    <w:rsid w:val="00364F36"/>
    <w:rsid w:val="00365CAA"/>
    <w:rsid w:val="003704AD"/>
    <w:rsid w:val="003729BA"/>
    <w:rsid w:val="00373667"/>
    <w:rsid w:val="003807ED"/>
    <w:rsid w:val="00380B48"/>
    <w:rsid w:val="003830EC"/>
    <w:rsid w:val="00385203"/>
    <w:rsid w:val="00387506"/>
    <w:rsid w:val="003907FE"/>
    <w:rsid w:val="003933CA"/>
    <w:rsid w:val="003A10A9"/>
    <w:rsid w:val="003A303E"/>
    <w:rsid w:val="003A3A4A"/>
    <w:rsid w:val="003A510B"/>
    <w:rsid w:val="003A7376"/>
    <w:rsid w:val="003B01D7"/>
    <w:rsid w:val="003B1E36"/>
    <w:rsid w:val="003B2E41"/>
    <w:rsid w:val="003B32E6"/>
    <w:rsid w:val="003B3810"/>
    <w:rsid w:val="003B481B"/>
    <w:rsid w:val="003B5D24"/>
    <w:rsid w:val="003B68A9"/>
    <w:rsid w:val="003C0C6E"/>
    <w:rsid w:val="003C1B73"/>
    <w:rsid w:val="003C5161"/>
    <w:rsid w:val="003C5906"/>
    <w:rsid w:val="003C735A"/>
    <w:rsid w:val="003C7D25"/>
    <w:rsid w:val="003C7D9A"/>
    <w:rsid w:val="003D0C05"/>
    <w:rsid w:val="003D1BB1"/>
    <w:rsid w:val="003D3F5C"/>
    <w:rsid w:val="003D4773"/>
    <w:rsid w:val="003D4F62"/>
    <w:rsid w:val="003D4F8E"/>
    <w:rsid w:val="003D5DAB"/>
    <w:rsid w:val="003E3968"/>
    <w:rsid w:val="003E65B3"/>
    <w:rsid w:val="003E74DA"/>
    <w:rsid w:val="003F1B84"/>
    <w:rsid w:val="003F274E"/>
    <w:rsid w:val="003F457C"/>
    <w:rsid w:val="003F54CB"/>
    <w:rsid w:val="003F6186"/>
    <w:rsid w:val="004000F2"/>
    <w:rsid w:val="004033A9"/>
    <w:rsid w:val="00403C24"/>
    <w:rsid w:val="0040417E"/>
    <w:rsid w:val="00405711"/>
    <w:rsid w:val="00406557"/>
    <w:rsid w:val="00406FB8"/>
    <w:rsid w:val="004074A2"/>
    <w:rsid w:val="004132A5"/>
    <w:rsid w:val="00414E45"/>
    <w:rsid w:val="0041608B"/>
    <w:rsid w:val="00416728"/>
    <w:rsid w:val="00416AEC"/>
    <w:rsid w:val="0041724A"/>
    <w:rsid w:val="00417575"/>
    <w:rsid w:val="00417AB2"/>
    <w:rsid w:val="00420CCF"/>
    <w:rsid w:val="00420D9A"/>
    <w:rsid w:val="00423CDF"/>
    <w:rsid w:val="00423E92"/>
    <w:rsid w:val="00426385"/>
    <w:rsid w:val="00430D33"/>
    <w:rsid w:val="00431714"/>
    <w:rsid w:val="00431EA4"/>
    <w:rsid w:val="0043243D"/>
    <w:rsid w:val="004326D5"/>
    <w:rsid w:val="00432C40"/>
    <w:rsid w:val="00433656"/>
    <w:rsid w:val="00434598"/>
    <w:rsid w:val="00436503"/>
    <w:rsid w:val="00436583"/>
    <w:rsid w:val="0044094C"/>
    <w:rsid w:val="00440E07"/>
    <w:rsid w:val="00441124"/>
    <w:rsid w:val="00441248"/>
    <w:rsid w:val="004412DA"/>
    <w:rsid w:val="004424FA"/>
    <w:rsid w:val="004429C9"/>
    <w:rsid w:val="004436AF"/>
    <w:rsid w:val="00443CDB"/>
    <w:rsid w:val="00444DC0"/>
    <w:rsid w:val="00445055"/>
    <w:rsid w:val="00446709"/>
    <w:rsid w:val="00447F20"/>
    <w:rsid w:val="00450FA6"/>
    <w:rsid w:val="00452187"/>
    <w:rsid w:val="0045224A"/>
    <w:rsid w:val="00452928"/>
    <w:rsid w:val="00455A33"/>
    <w:rsid w:val="004600E1"/>
    <w:rsid w:val="004601E1"/>
    <w:rsid w:val="00464C18"/>
    <w:rsid w:val="0046592E"/>
    <w:rsid w:val="00472B84"/>
    <w:rsid w:val="0047300F"/>
    <w:rsid w:val="004735B0"/>
    <w:rsid w:val="00474EDA"/>
    <w:rsid w:val="004752A4"/>
    <w:rsid w:val="00475A06"/>
    <w:rsid w:val="0047626D"/>
    <w:rsid w:val="004819DB"/>
    <w:rsid w:val="004821F2"/>
    <w:rsid w:val="00483C24"/>
    <w:rsid w:val="004845BE"/>
    <w:rsid w:val="00486A7A"/>
    <w:rsid w:val="00486B46"/>
    <w:rsid w:val="00486BA1"/>
    <w:rsid w:val="00490044"/>
    <w:rsid w:val="00490BCC"/>
    <w:rsid w:val="00491C2E"/>
    <w:rsid w:val="00492E98"/>
    <w:rsid w:val="0049426D"/>
    <w:rsid w:val="0049699B"/>
    <w:rsid w:val="00496B92"/>
    <w:rsid w:val="00497220"/>
    <w:rsid w:val="004A005F"/>
    <w:rsid w:val="004A3996"/>
    <w:rsid w:val="004A6E54"/>
    <w:rsid w:val="004B0AE7"/>
    <w:rsid w:val="004B0BEC"/>
    <w:rsid w:val="004B1F35"/>
    <w:rsid w:val="004B379F"/>
    <w:rsid w:val="004B3BA6"/>
    <w:rsid w:val="004B4C9A"/>
    <w:rsid w:val="004B62DF"/>
    <w:rsid w:val="004C074D"/>
    <w:rsid w:val="004C0F48"/>
    <w:rsid w:val="004C16BA"/>
    <w:rsid w:val="004C16FF"/>
    <w:rsid w:val="004C570B"/>
    <w:rsid w:val="004D4157"/>
    <w:rsid w:val="004D47B1"/>
    <w:rsid w:val="004D486B"/>
    <w:rsid w:val="004D6C5C"/>
    <w:rsid w:val="004D6FFF"/>
    <w:rsid w:val="004D7227"/>
    <w:rsid w:val="004D74FD"/>
    <w:rsid w:val="004D7D66"/>
    <w:rsid w:val="004E0D65"/>
    <w:rsid w:val="004E1F0E"/>
    <w:rsid w:val="004E23E0"/>
    <w:rsid w:val="004E246C"/>
    <w:rsid w:val="004E4AA9"/>
    <w:rsid w:val="004E70F1"/>
    <w:rsid w:val="004E7536"/>
    <w:rsid w:val="004E7906"/>
    <w:rsid w:val="004F07E5"/>
    <w:rsid w:val="004F0889"/>
    <w:rsid w:val="004F0CA6"/>
    <w:rsid w:val="004F18B4"/>
    <w:rsid w:val="004F5926"/>
    <w:rsid w:val="004F6B0F"/>
    <w:rsid w:val="00502736"/>
    <w:rsid w:val="00504136"/>
    <w:rsid w:val="00506208"/>
    <w:rsid w:val="00513522"/>
    <w:rsid w:val="00514DB1"/>
    <w:rsid w:val="00517E76"/>
    <w:rsid w:val="00520800"/>
    <w:rsid w:val="00520DD7"/>
    <w:rsid w:val="005213EA"/>
    <w:rsid w:val="005219BD"/>
    <w:rsid w:val="0052328F"/>
    <w:rsid w:val="005233BF"/>
    <w:rsid w:val="00524CE7"/>
    <w:rsid w:val="00524DB8"/>
    <w:rsid w:val="00525481"/>
    <w:rsid w:val="00525497"/>
    <w:rsid w:val="00526DA5"/>
    <w:rsid w:val="00531151"/>
    <w:rsid w:val="00531D57"/>
    <w:rsid w:val="00532A11"/>
    <w:rsid w:val="0053473A"/>
    <w:rsid w:val="00535C8C"/>
    <w:rsid w:val="00537695"/>
    <w:rsid w:val="0054129B"/>
    <w:rsid w:val="0054191A"/>
    <w:rsid w:val="00543563"/>
    <w:rsid w:val="00546313"/>
    <w:rsid w:val="00550F9C"/>
    <w:rsid w:val="005515FC"/>
    <w:rsid w:val="00552EFE"/>
    <w:rsid w:val="00553FAE"/>
    <w:rsid w:val="00554555"/>
    <w:rsid w:val="00554982"/>
    <w:rsid w:val="00554F3A"/>
    <w:rsid w:val="00554F90"/>
    <w:rsid w:val="00555194"/>
    <w:rsid w:val="0056203F"/>
    <w:rsid w:val="0056412C"/>
    <w:rsid w:val="0056617A"/>
    <w:rsid w:val="005672E6"/>
    <w:rsid w:val="005673CA"/>
    <w:rsid w:val="00567438"/>
    <w:rsid w:val="00571E90"/>
    <w:rsid w:val="00572A13"/>
    <w:rsid w:val="00573A14"/>
    <w:rsid w:val="00573C1D"/>
    <w:rsid w:val="00574120"/>
    <w:rsid w:val="00574CAF"/>
    <w:rsid w:val="00576DD0"/>
    <w:rsid w:val="00576F07"/>
    <w:rsid w:val="00577080"/>
    <w:rsid w:val="00577D16"/>
    <w:rsid w:val="00582043"/>
    <w:rsid w:val="00582395"/>
    <w:rsid w:val="00582BAC"/>
    <w:rsid w:val="00583512"/>
    <w:rsid w:val="00583F48"/>
    <w:rsid w:val="00584DC1"/>
    <w:rsid w:val="005856F3"/>
    <w:rsid w:val="005858BD"/>
    <w:rsid w:val="005916DC"/>
    <w:rsid w:val="00592EEF"/>
    <w:rsid w:val="00595A80"/>
    <w:rsid w:val="00595F8B"/>
    <w:rsid w:val="00596A7D"/>
    <w:rsid w:val="005A01ED"/>
    <w:rsid w:val="005A069D"/>
    <w:rsid w:val="005A20AB"/>
    <w:rsid w:val="005A22F1"/>
    <w:rsid w:val="005A2C3A"/>
    <w:rsid w:val="005A2EE0"/>
    <w:rsid w:val="005A36CC"/>
    <w:rsid w:val="005A5374"/>
    <w:rsid w:val="005B0125"/>
    <w:rsid w:val="005B03B3"/>
    <w:rsid w:val="005B3A97"/>
    <w:rsid w:val="005B7D8F"/>
    <w:rsid w:val="005C01E5"/>
    <w:rsid w:val="005C0DC4"/>
    <w:rsid w:val="005C10DE"/>
    <w:rsid w:val="005C13DA"/>
    <w:rsid w:val="005C19F8"/>
    <w:rsid w:val="005C45A1"/>
    <w:rsid w:val="005C4B1E"/>
    <w:rsid w:val="005C7783"/>
    <w:rsid w:val="005D1177"/>
    <w:rsid w:val="005D4037"/>
    <w:rsid w:val="005D4BC1"/>
    <w:rsid w:val="005D5384"/>
    <w:rsid w:val="005D5528"/>
    <w:rsid w:val="005D79E3"/>
    <w:rsid w:val="005E220E"/>
    <w:rsid w:val="005E2237"/>
    <w:rsid w:val="005E3105"/>
    <w:rsid w:val="005E4A49"/>
    <w:rsid w:val="005E5153"/>
    <w:rsid w:val="005E6CE5"/>
    <w:rsid w:val="005E78BE"/>
    <w:rsid w:val="005E7BA1"/>
    <w:rsid w:val="005F03DE"/>
    <w:rsid w:val="005F1F4B"/>
    <w:rsid w:val="005F3BBF"/>
    <w:rsid w:val="005F45DA"/>
    <w:rsid w:val="005F57AC"/>
    <w:rsid w:val="005F5A91"/>
    <w:rsid w:val="005F6393"/>
    <w:rsid w:val="005F7026"/>
    <w:rsid w:val="00600D0B"/>
    <w:rsid w:val="00600F55"/>
    <w:rsid w:val="00601164"/>
    <w:rsid w:val="00601D8A"/>
    <w:rsid w:val="00602BB4"/>
    <w:rsid w:val="00604F47"/>
    <w:rsid w:val="0061077E"/>
    <w:rsid w:val="006108D6"/>
    <w:rsid w:val="00615259"/>
    <w:rsid w:val="006177E5"/>
    <w:rsid w:val="00620686"/>
    <w:rsid w:val="00620741"/>
    <w:rsid w:val="00622BAD"/>
    <w:rsid w:val="006231E7"/>
    <w:rsid w:val="006233E1"/>
    <w:rsid w:val="006244E8"/>
    <w:rsid w:val="0062603D"/>
    <w:rsid w:val="0062604A"/>
    <w:rsid w:val="006261DA"/>
    <w:rsid w:val="006278C3"/>
    <w:rsid w:val="00630767"/>
    <w:rsid w:val="00632FE1"/>
    <w:rsid w:val="00633DF8"/>
    <w:rsid w:val="006346EE"/>
    <w:rsid w:val="00634E41"/>
    <w:rsid w:val="00635791"/>
    <w:rsid w:val="006358FD"/>
    <w:rsid w:val="00636097"/>
    <w:rsid w:val="006369A6"/>
    <w:rsid w:val="00637337"/>
    <w:rsid w:val="00637D9C"/>
    <w:rsid w:val="00643198"/>
    <w:rsid w:val="0064488E"/>
    <w:rsid w:val="0064575F"/>
    <w:rsid w:val="00645C77"/>
    <w:rsid w:val="006466AD"/>
    <w:rsid w:val="00646E13"/>
    <w:rsid w:val="00650626"/>
    <w:rsid w:val="006519DB"/>
    <w:rsid w:val="00653209"/>
    <w:rsid w:val="0065378F"/>
    <w:rsid w:val="00654A45"/>
    <w:rsid w:val="00655C37"/>
    <w:rsid w:val="006647A3"/>
    <w:rsid w:val="00665304"/>
    <w:rsid w:val="0066695D"/>
    <w:rsid w:val="00666C2A"/>
    <w:rsid w:val="006706EB"/>
    <w:rsid w:val="00672A80"/>
    <w:rsid w:val="00673153"/>
    <w:rsid w:val="006735FC"/>
    <w:rsid w:val="00674D7F"/>
    <w:rsid w:val="00676130"/>
    <w:rsid w:val="006775F0"/>
    <w:rsid w:val="006801A6"/>
    <w:rsid w:val="00680C1A"/>
    <w:rsid w:val="00683BA9"/>
    <w:rsid w:val="00684D40"/>
    <w:rsid w:val="00685E20"/>
    <w:rsid w:val="006902A1"/>
    <w:rsid w:val="006949BE"/>
    <w:rsid w:val="006952E1"/>
    <w:rsid w:val="0069702C"/>
    <w:rsid w:val="006A1EDC"/>
    <w:rsid w:val="006A54F4"/>
    <w:rsid w:val="006A76DC"/>
    <w:rsid w:val="006B1B7B"/>
    <w:rsid w:val="006B4B7D"/>
    <w:rsid w:val="006B505C"/>
    <w:rsid w:val="006B5632"/>
    <w:rsid w:val="006B7528"/>
    <w:rsid w:val="006B7665"/>
    <w:rsid w:val="006C0C68"/>
    <w:rsid w:val="006C132E"/>
    <w:rsid w:val="006C1B24"/>
    <w:rsid w:val="006C2889"/>
    <w:rsid w:val="006C2965"/>
    <w:rsid w:val="006C40E3"/>
    <w:rsid w:val="006C432A"/>
    <w:rsid w:val="006C48EB"/>
    <w:rsid w:val="006C51A6"/>
    <w:rsid w:val="006D04AC"/>
    <w:rsid w:val="006D093C"/>
    <w:rsid w:val="006D0941"/>
    <w:rsid w:val="006D40C8"/>
    <w:rsid w:val="006D79C0"/>
    <w:rsid w:val="006E0409"/>
    <w:rsid w:val="006E15E2"/>
    <w:rsid w:val="006E36AB"/>
    <w:rsid w:val="006E5EE7"/>
    <w:rsid w:val="006E62C4"/>
    <w:rsid w:val="006F2C5C"/>
    <w:rsid w:val="006F31BE"/>
    <w:rsid w:val="006F3331"/>
    <w:rsid w:val="006F6464"/>
    <w:rsid w:val="006F706D"/>
    <w:rsid w:val="007021AA"/>
    <w:rsid w:val="00702760"/>
    <w:rsid w:val="007031BD"/>
    <w:rsid w:val="0070492B"/>
    <w:rsid w:val="007076B5"/>
    <w:rsid w:val="007077F4"/>
    <w:rsid w:val="00707A18"/>
    <w:rsid w:val="00710644"/>
    <w:rsid w:val="00712256"/>
    <w:rsid w:val="007122B0"/>
    <w:rsid w:val="00712DE5"/>
    <w:rsid w:val="00713606"/>
    <w:rsid w:val="007150EF"/>
    <w:rsid w:val="00715C58"/>
    <w:rsid w:val="00715EF4"/>
    <w:rsid w:val="00717712"/>
    <w:rsid w:val="00717F4D"/>
    <w:rsid w:val="00722DB7"/>
    <w:rsid w:val="00723EBC"/>
    <w:rsid w:val="00725370"/>
    <w:rsid w:val="00726418"/>
    <w:rsid w:val="00727BCE"/>
    <w:rsid w:val="00732579"/>
    <w:rsid w:val="007336F4"/>
    <w:rsid w:val="007355DC"/>
    <w:rsid w:val="007370C4"/>
    <w:rsid w:val="00743CFD"/>
    <w:rsid w:val="00745147"/>
    <w:rsid w:val="007452D3"/>
    <w:rsid w:val="00745872"/>
    <w:rsid w:val="007530CB"/>
    <w:rsid w:val="007546FC"/>
    <w:rsid w:val="00755AD4"/>
    <w:rsid w:val="00757614"/>
    <w:rsid w:val="00761E63"/>
    <w:rsid w:val="00763C03"/>
    <w:rsid w:val="007640C2"/>
    <w:rsid w:val="00766396"/>
    <w:rsid w:val="00766804"/>
    <w:rsid w:val="00766F69"/>
    <w:rsid w:val="0076760B"/>
    <w:rsid w:val="00773293"/>
    <w:rsid w:val="007737A3"/>
    <w:rsid w:val="007748F1"/>
    <w:rsid w:val="00774A06"/>
    <w:rsid w:val="0077591D"/>
    <w:rsid w:val="0077604D"/>
    <w:rsid w:val="0077734B"/>
    <w:rsid w:val="007802F5"/>
    <w:rsid w:val="007814A8"/>
    <w:rsid w:val="00782E3C"/>
    <w:rsid w:val="007855A3"/>
    <w:rsid w:val="007866AE"/>
    <w:rsid w:val="007870F5"/>
    <w:rsid w:val="007879E5"/>
    <w:rsid w:val="00787C27"/>
    <w:rsid w:val="00790EA0"/>
    <w:rsid w:val="00792156"/>
    <w:rsid w:val="00795B41"/>
    <w:rsid w:val="007A0734"/>
    <w:rsid w:val="007A1525"/>
    <w:rsid w:val="007A17F9"/>
    <w:rsid w:val="007A1DD5"/>
    <w:rsid w:val="007A1FC3"/>
    <w:rsid w:val="007A204B"/>
    <w:rsid w:val="007A52EF"/>
    <w:rsid w:val="007A5B27"/>
    <w:rsid w:val="007A60A8"/>
    <w:rsid w:val="007A6209"/>
    <w:rsid w:val="007A6E27"/>
    <w:rsid w:val="007A7E59"/>
    <w:rsid w:val="007B06ED"/>
    <w:rsid w:val="007B25B8"/>
    <w:rsid w:val="007B3444"/>
    <w:rsid w:val="007B3862"/>
    <w:rsid w:val="007B4066"/>
    <w:rsid w:val="007B46ED"/>
    <w:rsid w:val="007B52E2"/>
    <w:rsid w:val="007B7506"/>
    <w:rsid w:val="007C1EFB"/>
    <w:rsid w:val="007C2004"/>
    <w:rsid w:val="007C2408"/>
    <w:rsid w:val="007C594C"/>
    <w:rsid w:val="007C6939"/>
    <w:rsid w:val="007C7CEB"/>
    <w:rsid w:val="007D0940"/>
    <w:rsid w:val="007D2183"/>
    <w:rsid w:val="007D3C4F"/>
    <w:rsid w:val="007D4191"/>
    <w:rsid w:val="007D4834"/>
    <w:rsid w:val="007D60D9"/>
    <w:rsid w:val="007D76D8"/>
    <w:rsid w:val="007E22C0"/>
    <w:rsid w:val="007E6CF0"/>
    <w:rsid w:val="007E73CF"/>
    <w:rsid w:val="007F006A"/>
    <w:rsid w:val="007F2302"/>
    <w:rsid w:val="007F25B7"/>
    <w:rsid w:val="007F3233"/>
    <w:rsid w:val="007F4188"/>
    <w:rsid w:val="007F4597"/>
    <w:rsid w:val="007F52BA"/>
    <w:rsid w:val="007F5672"/>
    <w:rsid w:val="007F6366"/>
    <w:rsid w:val="007F6511"/>
    <w:rsid w:val="007F6B2B"/>
    <w:rsid w:val="007F7502"/>
    <w:rsid w:val="007F7F17"/>
    <w:rsid w:val="008006E9"/>
    <w:rsid w:val="00800DDE"/>
    <w:rsid w:val="0080126B"/>
    <w:rsid w:val="0080201D"/>
    <w:rsid w:val="008039A0"/>
    <w:rsid w:val="00804C47"/>
    <w:rsid w:val="00804CD9"/>
    <w:rsid w:val="008053FF"/>
    <w:rsid w:val="00805924"/>
    <w:rsid w:val="00807AE3"/>
    <w:rsid w:val="008101C7"/>
    <w:rsid w:val="00810D64"/>
    <w:rsid w:val="00811DAB"/>
    <w:rsid w:val="00812CA0"/>
    <w:rsid w:val="00815711"/>
    <w:rsid w:val="00815917"/>
    <w:rsid w:val="008208B3"/>
    <w:rsid w:val="00821168"/>
    <w:rsid w:val="00822DF9"/>
    <w:rsid w:val="00824802"/>
    <w:rsid w:val="00826724"/>
    <w:rsid w:val="008276FC"/>
    <w:rsid w:val="00827F33"/>
    <w:rsid w:val="0083182F"/>
    <w:rsid w:val="00831BE7"/>
    <w:rsid w:val="00831C94"/>
    <w:rsid w:val="00833C86"/>
    <w:rsid w:val="00833DCF"/>
    <w:rsid w:val="00834651"/>
    <w:rsid w:val="00834CBD"/>
    <w:rsid w:val="00835AF9"/>
    <w:rsid w:val="00836E0E"/>
    <w:rsid w:val="008400E1"/>
    <w:rsid w:val="00846C1E"/>
    <w:rsid w:val="008474B6"/>
    <w:rsid w:val="008507C6"/>
    <w:rsid w:val="00851B1C"/>
    <w:rsid w:val="00851B6C"/>
    <w:rsid w:val="008524D5"/>
    <w:rsid w:val="008534A4"/>
    <w:rsid w:val="00853DBC"/>
    <w:rsid w:val="0086024E"/>
    <w:rsid w:val="008644DD"/>
    <w:rsid w:val="00865EB5"/>
    <w:rsid w:val="008670B0"/>
    <w:rsid w:val="0086769D"/>
    <w:rsid w:val="00870FE4"/>
    <w:rsid w:val="00871E1F"/>
    <w:rsid w:val="00874310"/>
    <w:rsid w:val="00874868"/>
    <w:rsid w:val="00876607"/>
    <w:rsid w:val="00876DA8"/>
    <w:rsid w:val="008773AD"/>
    <w:rsid w:val="00880959"/>
    <w:rsid w:val="00882B93"/>
    <w:rsid w:val="00885D26"/>
    <w:rsid w:val="00887EEF"/>
    <w:rsid w:val="00890160"/>
    <w:rsid w:val="00890528"/>
    <w:rsid w:val="0089062F"/>
    <w:rsid w:val="00891889"/>
    <w:rsid w:val="008922A7"/>
    <w:rsid w:val="0089250B"/>
    <w:rsid w:val="00892800"/>
    <w:rsid w:val="00893656"/>
    <w:rsid w:val="008940D3"/>
    <w:rsid w:val="00896148"/>
    <w:rsid w:val="00897BC6"/>
    <w:rsid w:val="008A3FE9"/>
    <w:rsid w:val="008A4D68"/>
    <w:rsid w:val="008A4E9A"/>
    <w:rsid w:val="008A5412"/>
    <w:rsid w:val="008B205E"/>
    <w:rsid w:val="008B226D"/>
    <w:rsid w:val="008B35E9"/>
    <w:rsid w:val="008B40E7"/>
    <w:rsid w:val="008B4170"/>
    <w:rsid w:val="008B54DC"/>
    <w:rsid w:val="008B57EA"/>
    <w:rsid w:val="008B5D09"/>
    <w:rsid w:val="008B6503"/>
    <w:rsid w:val="008B6EBF"/>
    <w:rsid w:val="008C5232"/>
    <w:rsid w:val="008C54D8"/>
    <w:rsid w:val="008C55D9"/>
    <w:rsid w:val="008C628C"/>
    <w:rsid w:val="008D1DE3"/>
    <w:rsid w:val="008D3254"/>
    <w:rsid w:val="008D4D66"/>
    <w:rsid w:val="008D5444"/>
    <w:rsid w:val="008E0A2C"/>
    <w:rsid w:val="008E172D"/>
    <w:rsid w:val="008E6CA0"/>
    <w:rsid w:val="008F00D7"/>
    <w:rsid w:val="008F126D"/>
    <w:rsid w:val="008F4DD1"/>
    <w:rsid w:val="008F5086"/>
    <w:rsid w:val="00900687"/>
    <w:rsid w:val="00906985"/>
    <w:rsid w:val="00906BF3"/>
    <w:rsid w:val="009125F7"/>
    <w:rsid w:val="009134B4"/>
    <w:rsid w:val="00915747"/>
    <w:rsid w:val="00915B5E"/>
    <w:rsid w:val="00916BF3"/>
    <w:rsid w:val="00916FC0"/>
    <w:rsid w:val="00921049"/>
    <w:rsid w:val="0092192C"/>
    <w:rsid w:val="00922DF2"/>
    <w:rsid w:val="00922E15"/>
    <w:rsid w:val="00923BD1"/>
    <w:rsid w:val="00924499"/>
    <w:rsid w:val="00926BED"/>
    <w:rsid w:val="009308AB"/>
    <w:rsid w:val="00931C46"/>
    <w:rsid w:val="00934FA0"/>
    <w:rsid w:val="00935C2F"/>
    <w:rsid w:val="00940525"/>
    <w:rsid w:val="00942308"/>
    <w:rsid w:val="00942C58"/>
    <w:rsid w:val="00944267"/>
    <w:rsid w:val="00944C63"/>
    <w:rsid w:val="0094625B"/>
    <w:rsid w:val="00946677"/>
    <w:rsid w:val="00947335"/>
    <w:rsid w:val="00947C28"/>
    <w:rsid w:val="00950423"/>
    <w:rsid w:val="00951A27"/>
    <w:rsid w:val="009551C7"/>
    <w:rsid w:val="009554B1"/>
    <w:rsid w:val="009556A0"/>
    <w:rsid w:val="009561DB"/>
    <w:rsid w:val="0095634D"/>
    <w:rsid w:val="00957DD2"/>
    <w:rsid w:val="00961C3A"/>
    <w:rsid w:val="00962360"/>
    <w:rsid w:val="00962BDD"/>
    <w:rsid w:val="009638ED"/>
    <w:rsid w:val="00967DFD"/>
    <w:rsid w:val="00970D3D"/>
    <w:rsid w:val="00971FC7"/>
    <w:rsid w:val="00972C62"/>
    <w:rsid w:val="009730C2"/>
    <w:rsid w:val="009732B1"/>
    <w:rsid w:val="00975522"/>
    <w:rsid w:val="00976B58"/>
    <w:rsid w:val="009802F3"/>
    <w:rsid w:val="009813F6"/>
    <w:rsid w:val="0098240E"/>
    <w:rsid w:val="0098274D"/>
    <w:rsid w:val="009850C8"/>
    <w:rsid w:val="0098585D"/>
    <w:rsid w:val="0099246A"/>
    <w:rsid w:val="00992C44"/>
    <w:rsid w:val="009933CD"/>
    <w:rsid w:val="00993B06"/>
    <w:rsid w:val="00994742"/>
    <w:rsid w:val="0099498D"/>
    <w:rsid w:val="00994B85"/>
    <w:rsid w:val="00995FA5"/>
    <w:rsid w:val="00996536"/>
    <w:rsid w:val="00996591"/>
    <w:rsid w:val="00997178"/>
    <w:rsid w:val="009A06CE"/>
    <w:rsid w:val="009A19BF"/>
    <w:rsid w:val="009A209E"/>
    <w:rsid w:val="009A252B"/>
    <w:rsid w:val="009A4685"/>
    <w:rsid w:val="009A58EF"/>
    <w:rsid w:val="009A5FE6"/>
    <w:rsid w:val="009B4371"/>
    <w:rsid w:val="009B4398"/>
    <w:rsid w:val="009B53E0"/>
    <w:rsid w:val="009B6CB1"/>
    <w:rsid w:val="009B6DA9"/>
    <w:rsid w:val="009C008D"/>
    <w:rsid w:val="009C0369"/>
    <w:rsid w:val="009C0633"/>
    <w:rsid w:val="009C09D6"/>
    <w:rsid w:val="009C333A"/>
    <w:rsid w:val="009C39CC"/>
    <w:rsid w:val="009C5644"/>
    <w:rsid w:val="009C783B"/>
    <w:rsid w:val="009D22F3"/>
    <w:rsid w:val="009D57A5"/>
    <w:rsid w:val="009D6AD9"/>
    <w:rsid w:val="009D6DD5"/>
    <w:rsid w:val="009D7FBE"/>
    <w:rsid w:val="009E06D5"/>
    <w:rsid w:val="009E442B"/>
    <w:rsid w:val="009E4666"/>
    <w:rsid w:val="009E4F56"/>
    <w:rsid w:val="009F237E"/>
    <w:rsid w:val="009F27A1"/>
    <w:rsid w:val="009F5286"/>
    <w:rsid w:val="009F627D"/>
    <w:rsid w:val="009F6444"/>
    <w:rsid w:val="00A0004F"/>
    <w:rsid w:val="00A00B7E"/>
    <w:rsid w:val="00A016EF"/>
    <w:rsid w:val="00A01FEF"/>
    <w:rsid w:val="00A03EA2"/>
    <w:rsid w:val="00A0630E"/>
    <w:rsid w:val="00A106B0"/>
    <w:rsid w:val="00A135F7"/>
    <w:rsid w:val="00A13BA6"/>
    <w:rsid w:val="00A14927"/>
    <w:rsid w:val="00A14F14"/>
    <w:rsid w:val="00A2040C"/>
    <w:rsid w:val="00A22F55"/>
    <w:rsid w:val="00A2393A"/>
    <w:rsid w:val="00A251D2"/>
    <w:rsid w:val="00A3075B"/>
    <w:rsid w:val="00A32265"/>
    <w:rsid w:val="00A324AC"/>
    <w:rsid w:val="00A33ADE"/>
    <w:rsid w:val="00A343DD"/>
    <w:rsid w:val="00A358A5"/>
    <w:rsid w:val="00A35BCC"/>
    <w:rsid w:val="00A40255"/>
    <w:rsid w:val="00A4054F"/>
    <w:rsid w:val="00A43287"/>
    <w:rsid w:val="00A45C46"/>
    <w:rsid w:val="00A50B0D"/>
    <w:rsid w:val="00A50B8F"/>
    <w:rsid w:val="00A534D9"/>
    <w:rsid w:val="00A5426B"/>
    <w:rsid w:val="00A54563"/>
    <w:rsid w:val="00A55713"/>
    <w:rsid w:val="00A559E9"/>
    <w:rsid w:val="00A56A0C"/>
    <w:rsid w:val="00A56A8F"/>
    <w:rsid w:val="00A56E0C"/>
    <w:rsid w:val="00A57E30"/>
    <w:rsid w:val="00A6020E"/>
    <w:rsid w:val="00A6350C"/>
    <w:rsid w:val="00A639C3"/>
    <w:rsid w:val="00A64612"/>
    <w:rsid w:val="00A67950"/>
    <w:rsid w:val="00A70541"/>
    <w:rsid w:val="00A71EF3"/>
    <w:rsid w:val="00A72247"/>
    <w:rsid w:val="00A739B3"/>
    <w:rsid w:val="00A75BB0"/>
    <w:rsid w:val="00A7617A"/>
    <w:rsid w:val="00A766E2"/>
    <w:rsid w:val="00A779B6"/>
    <w:rsid w:val="00A8164C"/>
    <w:rsid w:val="00A82AB8"/>
    <w:rsid w:val="00A83032"/>
    <w:rsid w:val="00A8336A"/>
    <w:rsid w:val="00A84009"/>
    <w:rsid w:val="00A84076"/>
    <w:rsid w:val="00A843F3"/>
    <w:rsid w:val="00A85A8C"/>
    <w:rsid w:val="00A85F46"/>
    <w:rsid w:val="00A86D53"/>
    <w:rsid w:val="00A87BAC"/>
    <w:rsid w:val="00A905C9"/>
    <w:rsid w:val="00A9092F"/>
    <w:rsid w:val="00A9097F"/>
    <w:rsid w:val="00A92EB1"/>
    <w:rsid w:val="00A9537D"/>
    <w:rsid w:val="00A95D4F"/>
    <w:rsid w:val="00A96DC9"/>
    <w:rsid w:val="00A97828"/>
    <w:rsid w:val="00AA1831"/>
    <w:rsid w:val="00AA242C"/>
    <w:rsid w:val="00AA4A85"/>
    <w:rsid w:val="00AA5636"/>
    <w:rsid w:val="00AA6650"/>
    <w:rsid w:val="00AA7B40"/>
    <w:rsid w:val="00AB1C4D"/>
    <w:rsid w:val="00AB354F"/>
    <w:rsid w:val="00AB43B7"/>
    <w:rsid w:val="00AB48AB"/>
    <w:rsid w:val="00AB4A50"/>
    <w:rsid w:val="00AB4B67"/>
    <w:rsid w:val="00AB7025"/>
    <w:rsid w:val="00AC0299"/>
    <w:rsid w:val="00AC3436"/>
    <w:rsid w:val="00AC65DE"/>
    <w:rsid w:val="00AC6C75"/>
    <w:rsid w:val="00AC6DED"/>
    <w:rsid w:val="00AD0650"/>
    <w:rsid w:val="00AD10AE"/>
    <w:rsid w:val="00AD2AF3"/>
    <w:rsid w:val="00AD4B43"/>
    <w:rsid w:val="00AD6152"/>
    <w:rsid w:val="00AD617B"/>
    <w:rsid w:val="00AD7B64"/>
    <w:rsid w:val="00AE0896"/>
    <w:rsid w:val="00AE141C"/>
    <w:rsid w:val="00AE1F25"/>
    <w:rsid w:val="00AE244A"/>
    <w:rsid w:val="00AE50BF"/>
    <w:rsid w:val="00AE5823"/>
    <w:rsid w:val="00AF17BA"/>
    <w:rsid w:val="00AF1C10"/>
    <w:rsid w:val="00AF4757"/>
    <w:rsid w:val="00AF556C"/>
    <w:rsid w:val="00AF5CAD"/>
    <w:rsid w:val="00AF6222"/>
    <w:rsid w:val="00AF6714"/>
    <w:rsid w:val="00AF7EAA"/>
    <w:rsid w:val="00B0033E"/>
    <w:rsid w:val="00B00507"/>
    <w:rsid w:val="00B01C75"/>
    <w:rsid w:val="00B02213"/>
    <w:rsid w:val="00B02889"/>
    <w:rsid w:val="00B03DC6"/>
    <w:rsid w:val="00B05DD1"/>
    <w:rsid w:val="00B060E8"/>
    <w:rsid w:val="00B0623D"/>
    <w:rsid w:val="00B06C19"/>
    <w:rsid w:val="00B07535"/>
    <w:rsid w:val="00B10084"/>
    <w:rsid w:val="00B1054C"/>
    <w:rsid w:val="00B10BFD"/>
    <w:rsid w:val="00B11F64"/>
    <w:rsid w:val="00B12933"/>
    <w:rsid w:val="00B154EF"/>
    <w:rsid w:val="00B20493"/>
    <w:rsid w:val="00B2181C"/>
    <w:rsid w:val="00B22FBC"/>
    <w:rsid w:val="00B23DAE"/>
    <w:rsid w:val="00B25FA4"/>
    <w:rsid w:val="00B26498"/>
    <w:rsid w:val="00B27400"/>
    <w:rsid w:val="00B32211"/>
    <w:rsid w:val="00B340F3"/>
    <w:rsid w:val="00B35AD5"/>
    <w:rsid w:val="00B40042"/>
    <w:rsid w:val="00B41F70"/>
    <w:rsid w:val="00B43107"/>
    <w:rsid w:val="00B43FEA"/>
    <w:rsid w:val="00B456FB"/>
    <w:rsid w:val="00B457CB"/>
    <w:rsid w:val="00B45D5D"/>
    <w:rsid w:val="00B4653D"/>
    <w:rsid w:val="00B47DB9"/>
    <w:rsid w:val="00B51CA0"/>
    <w:rsid w:val="00B51F0A"/>
    <w:rsid w:val="00B520E9"/>
    <w:rsid w:val="00B5236A"/>
    <w:rsid w:val="00B551B2"/>
    <w:rsid w:val="00B55D17"/>
    <w:rsid w:val="00B57B75"/>
    <w:rsid w:val="00B60BBB"/>
    <w:rsid w:val="00B60EBF"/>
    <w:rsid w:val="00B61248"/>
    <w:rsid w:val="00B634A2"/>
    <w:rsid w:val="00B64251"/>
    <w:rsid w:val="00B64853"/>
    <w:rsid w:val="00B64D33"/>
    <w:rsid w:val="00B64EF0"/>
    <w:rsid w:val="00B66924"/>
    <w:rsid w:val="00B70357"/>
    <w:rsid w:val="00B70B1A"/>
    <w:rsid w:val="00B71EBA"/>
    <w:rsid w:val="00B72A0A"/>
    <w:rsid w:val="00B76306"/>
    <w:rsid w:val="00B802BC"/>
    <w:rsid w:val="00B80C99"/>
    <w:rsid w:val="00B81549"/>
    <w:rsid w:val="00B815BA"/>
    <w:rsid w:val="00B818D4"/>
    <w:rsid w:val="00B820EF"/>
    <w:rsid w:val="00B86ABB"/>
    <w:rsid w:val="00B91588"/>
    <w:rsid w:val="00B917F1"/>
    <w:rsid w:val="00B931CC"/>
    <w:rsid w:val="00B93532"/>
    <w:rsid w:val="00B936B1"/>
    <w:rsid w:val="00B939BB"/>
    <w:rsid w:val="00B964F1"/>
    <w:rsid w:val="00B965F0"/>
    <w:rsid w:val="00B978B7"/>
    <w:rsid w:val="00B97E16"/>
    <w:rsid w:val="00BA0A19"/>
    <w:rsid w:val="00BA6112"/>
    <w:rsid w:val="00BA61A5"/>
    <w:rsid w:val="00BA6885"/>
    <w:rsid w:val="00BB1681"/>
    <w:rsid w:val="00BB2773"/>
    <w:rsid w:val="00BB4D67"/>
    <w:rsid w:val="00BB5D53"/>
    <w:rsid w:val="00BB6F58"/>
    <w:rsid w:val="00BC1A0D"/>
    <w:rsid w:val="00BC2388"/>
    <w:rsid w:val="00BC3D7C"/>
    <w:rsid w:val="00BC61E8"/>
    <w:rsid w:val="00BD0303"/>
    <w:rsid w:val="00BD5B62"/>
    <w:rsid w:val="00BD61C2"/>
    <w:rsid w:val="00BD79B2"/>
    <w:rsid w:val="00BE2B55"/>
    <w:rsid w:val="00BE2CAB"/>
    <w:rsid w:val="00BE3301"/>
    <w:rsid w:val="00BE5F56"/>
    <w:rsid w:val="00BF084C"/>
    <w:rsid w:val="00BF2AF7"/>
    <w:rsid w:val="00BF4B2F"/>
    <w:rsid w:val="00BF630B"/>
    <w:rsid w:val="00C0153F"/>
    <w:rsid w:val="00C03FCE"/>
    <w:rsid w:val="00C0447F"/>
    <w:rsid w:val="00C04FC3"/>
    <w:rsid w:val="00C07B33"/>
    <w:rsid w:val="00C1139E"/>
    <w:rsid w:val="00C11B40"/>
    <w:rsid w:val="00C14647"/>
    <w:rsid w:val="00C15550"/>
    <w:rsid w:val="00C16F32"/>
    <w:rsid w:val="00C17D38"/>
    <w:rsid w:val="00C2152F"/>
    <w:rsid w:val="00C228F4"/>
    <w:rsid w:val="00C342F6"/>
    <w:rsid w:val="00C3599B"/>
    <w:rsid w:val="00C3786D"/>
    <w:rsid w:val="00C408F0"/>
    <w:rsid w:val="00C41248"/>
    <w:rsid w:val="00C44DB2"/>
    <w:rsid w:val="00C4656D"/>
    <w:rsid w:val="00C46D3E"/>
    <w:rsid w:val="00C477E5"/>
    <w:rsid w:val="00C47E65"/>
    <w:rsid w:val="00C51465"/>
    <w:rsid w:val="00C51859"/>
    <w:rsid w:val="00C5403A"/>
    <w:rsid w:val="00C55EBE"/>
    <w:rsid w:val="00C572F5"/>
    <w:rsid w:val="00C57E89"/>
    <w:rsid w:val="00C603E8"/>
    <w:rsid w:val="00C637F6"/>
    <w:rsid w:val="00C67251"/>
    <w:rsid w:val="00C72341"/>
    <w:rsid w:val="00C72481"/>
    <w:rsid w:val="00C73856"/>
    <w:rsid w:val="00C73CEB"/>
    <w:rsid w:val="00C75869"/>
    <w:rsid w:val="00C76783"/>
    <w:rsid w:val="00C810BB"/>
    <w:rsid w:val="00C81609"/>
    <w:rsid w:val="00C8239F"/>
    <w:rsid w:val="00C8467F"/>
    <w:rsid w:val="00C8790C"/>
    <w:rsid w:val="00C963BF"/>
    <w:rsid w:val="00C97B67"/>
    <w:rsid w:val="00CA0076"/>
    <w:rsid w:val="00CA0FBE"/>
    <w:rsid w:val="00CA3522"/>
    <w:rsid w:val="00CA3C10"/>
    <w:rsid w:val="00CA3ED1"/>
    <w:rsid w:val="00CA45D8"/>
    <w:rsid w:val="00CA470C"/>
    <w:rsid w:val="00CA599A"/>
    <w:rsid w:val="00CA5ACA"/>
    <w:rsid w:val="00CA6189"/>
    <w:rsid w:val="00CA62EC"/>
    <w:rsid w:val="00CA660A"/>
    <w:rsid w:val="00CA71E8"/>
    <w:rsid w:val="00CA7400"/>
    <w:rsid w:val="00CA7CBA"/>
    <w:rsid w:val="00CB1EE0"/>
    <w:rsid w:val="00CB34B5"/>
    <w:rsid w:val="00CB456D"/>
    <w:rsid w:val="00CB530A"/>
    <w:rsid w:val="00CB57C2"/>
    <w:rsid w:val="00CB5C20"/>
    <w:rsid w:val="00CB7431"/>
    <w:rsid w:val="00CB7FE2"/>
    <w:rsid w:val="00CC1326"/>
    <w:rsid w:val="00CC1B40"/>
    <w:rsid w:val="00CC2479"/>
    <w:rsid w:val="00CC296C"/>
    <w:rsid w:val="00CC3666"/>
    <w:rsid w:val="00CC3A70"/>
    <w:rsid w:val="00CC54D2"/>
    <w:rsid w:val="00CC6753"/>
    <w:rsid w:val="00CD069B"/>
    <w:rsid w:val="00CD08D3"/>
    <w:rsid w:val="00CD1986"/>
    <w:rsid w:val="00CD22ED"/>
    <w:rsid w:val="00CD25CB"/>
    <w:rsid w:val="00CD3230"/>
    <w:rsid w:val="00CD38AB"/>
    <w:rsid w:val="00CD475C"/>
    <w:rsid w:val="00CD4D03"/>
    <w:rsid w:val="00CD62BB"/>
    <w:rsid w:val="00CE07F0"/>
    <w:rsid w:val="00CE0F91"/>
    <w:rsid w:val="00CE2E85"/>
    <w:rsid w:val="00CE32FF"/>
    <w:rsid w:val="00CE5832"/>
    <w:rsid w:val="00CE5E47"/>
    <w:rsid w:val="00CE6C5A"/>
    <w:rsid w:val="00CE7037"/>
    <w:rsid w:val="00CE7065"/>
    <w:rsid w:val="00CE7BD0"/>
    <w:rsid w:val="00CF0881"/>
    <w:rsid w:val="00CF1248"/>
    <w:rsid w:val="00CF178A"/>
    <w:rsid w:val="00CF18B9"/>
    <w:rsid w:val="00CF1F4C"/>
    <w:rsid w:val="00CF23E6"/>
    <w:rsid w:val="00CF4132"/>
    <w:rsid w:val="00CF415A"/>
    <w:rsid w:val="00CF5550"/>
    <w:rsid w:val="00CF575B"/>
    <w:rsid w:val="00CF598B"/>
    <w:rsid w:val="00CF6633"/>
    <w:rsid w:val="00CF72E5"/>
    <w:rsid w:val="00CF738B"/>
    <w:rsid w:val="00CF7497"/>
    <w:rsid w:val="00CF7B35"/>
    <w:rsid w:val="00D005A7"/>
    <w:rsid w:val="00D00F02"/>
    <w:rsid w:val="00D01E07"/>
    <w:rsid w:val="00D0320B"/>
    <w:rsid w:val="00D03D03"/>
    <w:rsid w:val="00D0611A"/>
    <w:rsid w:val="00D1246F"/>
    <w:rsid w:val="00D12F00"/>
    <w:rsid w:val="00D132FC"/>
    <w:rsid w:val="00D14506"/>
    <w:rsid w:val="00D16275"/>
    <w:rsid w:val="00D2362F"/>
    <w:rsid w:val="00D240D4"/>
    <w:rsid w:val="00D249E4"/>
    <w:rsid w:val="00D251F0"/>
    <w:rsid w:val="00D25218"/>
    <w:rsid w:val="00D26BC7"/>
    <w:rsid w:val="00D3168D"/>
    <w:rsid w:val="00D32E70"/>
    <w:rsid w:val="00D331CF"/>
    <w:rsid w:val="00D346F9"/>
    <w:rsid w:val="00D34EEA"/>
    <w:rsid w:val="00D37719"/>
    <w:rsid w:val="00D37B64"/>
    <w:rsid w:val="00D37CE0"/>
    <w:rsid w:val="00D441CF"/>
    <w:rsid w:val="00D50566"/>
    <w:rsid w:val="00D50F32"/>
    <w:rsid w:val="00D51853"/>
    <w:rsid w:val="00D51BC0"/>
    <w:rsid w:val="00D52226"/>
    <w:rsid w:val="00D52A06"/>
    <w:rsid w:val="00D534CB"/>
    <w:rsid w:val="00D53789"/>
    <w:rsid w:val="00D55A86"/>
    <w:rsid w:val="00D6048B"/>
    <w:rsid w:val="00D606DF"/>
    <w:rsid w:val="00D61B8D"/>
    <w:rsid w:val="00D61EFD"/>
    <w:rsid w:val="00D63AE5"/>
    <w:rsid w:val="00D64A1A"/>
    <w:rsid w:val="00D67578"/>
    <w:rsid w:val="00D67831"/>
    <w:rsid w:val="00D7061D"/>
    <w:rsid w:val="00D72376"/>
    <w:rsid w:val="00D724B5"/>
    <w:rsid w:val="00D72601"/>
    <w:rsid w:val="00D72CB6"/>
    <w:rsid w:val="00D76371"/>
    <w:rsid w:val="00D7736D"/>
    <w:rsid w:val="00D77D0B"/>
    <w:rsid w:val="00D80578"/>
    <w:rsid w:val="00D80BE9"/>
    <w:rsid w:val="00D821E5"/>
    <w:rsid w:val="00D83261"/>
    <w:rsid w:val="00D84A76"/>
    <w:rsid w:val="00D92E41"/>
    <w:rsid w:val="00D93C66"/>
    <w:rsid w:val="00D95AC9"/>
    <w:rsid w:val="00D96FAC"/>
    <w:rsid w:val="00D97F8B"/>
    <w:rsid w:val="00DA02C9"/>
    <w:rsid w:val="00DA15F4"/>
    <w:rsid w:val="00DA1814"/>
    <w:rsid w:val="00DA199A"/>
    <w:rsid w:val="00DA33FC"/>
    <w:rsid w:val="00DA3625"/>
    <w:rsid w:val="00DA3A9A"/>
    <w:rsid w:val="00DA4F16"/>
    <w:rsid w:val="00DA5EB0"/>
    <w:rsid w:val="00DA7D09"/>
    <w:rsid w:val="00DB1D08"/>
    <w:rsid w:val="00DB26A7"/>
    <w:rsid w:val="00DB2D19"/>
    <w:rsid w:val="00DB508C"/>
    <w:rsid w:val="00DB5DD9"/>
    <w:rsid w:val="00DB6A22"/>
    <w:rsid w:val="00DC18A1"/>
    <w:rsid w:val="00DC323B"/>
    <w:rsid w:val="00DC4DAA"/>
    <w:rsid w:val="00DC4F6F"/>
    <w:rsid w:val="00DC5992"/>
    <w:rsid w:val="00DD142E"/>
    <w:rsid w:val="00DD43CC"/>
    <w:rsid w:val="00DD4E9A"/>
    <w:rsid w:val="00DD6CDC"/>
    <w:rsid w:val="00DD7677"/>
    <w:rsid w:val="00DE0BA8"/>
    <w:rsid w:val="00DE10BB"/>
    <w:rsid w:val="00DE1123"/>
    <w:rsid w:val="00DE4822"/>
    <w:rsid w:val="00DE5106"/>
    <w:rsid w:val="00DE55DB"/>
    <w:rsid w:val="00DE5B77"/>
    <w:rsid w:val="00DE5EFE"/>
    <w:rsid w:val="00DE73F0"/>
    <w:rsid w:val="00DF0EBF"/>
    <w:rsid w:val="00DF142C"/>
    <w:rsid w:val="00DF447E"/>
    <w:rsid w:val="00DF45D0"/>
    <w:rsid w:val="00DF4AFE"/>
    <w:rsid w:val="00DF63CF"/>
    <w:rsid w:val="00DF71F4"/>
    <w:rsid w:val="00E01792"/>
    <w:rsid w:val="00E023D0"/>
    <w:rsid w:val="00E03932"/>
    <w:rsid w:val="00E048CD"/>
    <w:rsid w:val="00E04D0E"/>
    <w:rsid w:val="00E05BA2"/>
    <w:rsid w:val="00E10DFE"/>
    <w:rsid w:val="00E14A45"/>
    <w:rsid w:val="00E16076"/>
    <w:rsid w:val="00E17A86"/>
    <w:rsid w:val="00E20E46"/>
    <w:rsid w:val="00E21C0B"/>
    <w:rsid w:val="00E21CBD"/>
    <w:rsid w:val="00E22696"/>
    <w:rsid w:val="00E226E2"/>
    <w:rsid w:val="00E24457"/>
    <w:rsid w:val="00E25360"/>
    <w:rsid w:val="00E25EBC"/>
    <w:rsid w:val="00E3150A"/>
    <w:rsid w:val="00E32B35"/>
    <w:rsid w:val="00E3398D"/>
    <w:rsid w:val="00E34BAA"/>
    <w:rsid w:val="00E3583F"/>
    <w:rsid w:val="00E36096"/>
    <w:rsid w:val="00E40173"/>
    <w:rsid w:val="00E40F6B"/>
    <w:rsid w:val="00E427A3"/>
    <w:rsid w:val="00E464AF"/>
    <w:rsid w:val="00E474F7"/>
    <w:rsid w:val="00E478D1"/>
    <w:rsid w:val="00E53BEF"/>
    <w:rsid w:val="00E55BD7"/>
    <w:rsid w:val="00E564B0"/>
    <w:rsid w:val="00E601FD"/>
    <w:rsid w:val="00E6074D"/>
    <w:rsid w:val="00E61F1A"/>
    <w:rsid w:val="00E62E0C"/>
    <w:rsid w:val="00E63E0A"/>
    <w:rsid w:val="00E667DB"/>
    <w:rsid w:val="00E6781A"/>
    <w:rsid w:val="00E67C79"/>
    <w:rsid w:val="00E70E89"/>
    <w:rsid w:val="00E71086"/>
    <w:rsid w:val="00E721AB"/>
    <w:rsid w:val="00E72D95"/>
    <w:rsid w:val="00E73101"/>
    <w:rsid w:val="00E73AAE"/>
    <w:rsid w:val="00E74EAB"/>
    <w:rsid w:val="00E775A9"/>
    <w:rsid w:val="00E812DC"/>
    <w:rsid w:val="00E81D1A"/>
    <w:rsid w:val="00E83D98"/>
    <w:rsid w:val="00E84FEA"/>
    <w:rsid w:val="00E85503"/>
    <w:rsid w:val="00E860AD"/>
    <w:rsid w:val="00E86B39"/>
    <w:rsid w:val="00E90ADB"/>
    <w:rsid w:val="00E91A65"/>
    <w:rsid w:val="00E924F6"/>
    <w:rsid w:val="00E933FD"/>
    <w:rsid w:val="00E93AE9"/>
    <w:rsid w:val="00E94BBC"/>
    <w:rsid w:val="00E94BDD"/>
    <w:rsid w:val="00E952A1"/>
    <w:rsid w:val="00E957F8"/>
    <w:rsid w:val="00E95B8E"/>
    <w:rsid w:val="00E95DE4"/>
    <w:rsid w:val="00EA0341"/>
    <w:rsid w:val="00EA17DF"/>
    <w:rsid w:val="00EA1B73"/>
    <w:rsid w:val="00EA2EEC"/>
    <w:rsid w:val="00EA3DC1"/>
    <w:rsid w:val="00EA43C4"/>
    <w:rsid w:val="00EA4E47"/>
    <w:rsid w:val="00EA5C49"/>
    <w:rsid w:val="00EB0C4B"/>
    <w:rsid w:val="00EB10D1"/>
    <w:rsid w:val="00EB16BC"/>
    <w:rsid w:val="00EB2419"/>
    <w:rsid w:val="00EB7938"/>
    <w:rsid w:val="00EC0127"/>
    <w:rsid w:val="00EC1322"/>
    <w:rsid w:val="00EC1C81"/>
    <w:rsid w:val="00EC41C3"/>
    <w:rsid w:val="00EC55D5"/>
    <w:rsid w:val="00EC6EA4"/>
    <w:rsid w:val="00EC703A"/>
    <w:rsid w:val="00ED3DC1"/>
    <w:rsid w:val="00ED4553"/>
    <w:rsid w:val="00ED4D08"/>
    <w:rsid w:val="00ED4F63"/>
    <w:rsid w:val="00ED7BC1"/>
    <w:rsid w:val="00EE0A94"/>
    <w:rsid w:val="00EE0C93"/>
    <w:rsid w:val="00EE10EC"/>
    <w:rsid w:val="00EE3FCD"/>
    <w:rsid w:val="00EE40B6"/>
    <w:rsid w:val="00EE4716"/>
    <w:rsid w:val="00EF394D"/>
    <w:rsid w:val="00EF5982"/>
    <w:rsid w:val="00EF7AD4"/>
    <w:rsid w:val="00F034FC"/>
    <w:rsid w:val="00F03FC3"/>
    <w:rsid w:val="00F0403D"/>
    <w:rsid w:val="00F05DF3"/>
    <w:rsid w:val="00F06041"/>
    <w:rsid w:val="00F104E3"/>
    <w:rsid w:val="00F10BA3"/>
    <w:rsid w:val="00F1243F"/>
    <w:rsid w:val="00F13108"/>
    <w:rsid w:val="00F13C99"/>
    <w:rsid w:val="00F13D10"/>
    <w:rsid w:val="00F143F1"/>
    <w:rsid w:val="00F14E1B"/>
    <w:rsid w:val="00F1502C"/>
    <w:rsid w:val="00F154AF"/>
    <w:rsid w:val="00F160D7"/>
    <w:rsid w:val="00F21B07"/>
    <w:rsid w:val="00F231F5"/>
    <w:rsid w:val="00F23DE0"/>
    <w:rsid w:val="00F27274"/>
    <w:rsid w:val="00F27502"/>
    <w:rsid w:val="00F30BA6"/>
    <w:rsid w:val="00F30EDD"/>
    <w:rsid w:val="00F3361E"/>
    <w:rsid w:val="00F337F4"/>
    <w:rsid w:val="00F40C40"/>
    <w:rsid w:val="00F40EEA"/>
    <w:rsid w:val="00F416DD"/>
    <w:rsid w:val="00F42718"/>
    <w:rsid w:val="00F44E01"/>
    <w:rsid w:val="00F45113"/>
    <w:rsid w:val="00F46E82"/>
    <w:rsid w:val="00F47F09"/>
    <w:rsid w:val="00F50379"/>
    <w:rsid w:val="00F516E6"/>
    <w:rsid w:val="00F52737"/>
    <w:rsid w:val="00F528CE"/>
    <w:rsid w:val="00F5293E"/>
    <w:rsid w:val="00F52F51"/>
    <w:rsid w:val="00F5597F"/>
    <w:rsid w:val="00F56571"/>
    <w:rsid w:val="00F61661"/>
    <w:rsid w:val="00F6175F"/>
    <w:rsid w:val="00F618E3"/>
    <w:rsid w:val="00F61AA9"/>
    <w:rsid w:val="00F61D91"/>
    <w:rsid w:val="00F62083"/>
    <w:rsid w:val="00F638F7"/>
    <w:rsid w:val="00F65C75"/>
    <w:rsid w:val="00F66DE3"/>
    <w:rsid w:val="00F722F6"/>
    <w:rsid w:val="00F73314"/>
    <w:rsid w:val="00F73B60"/>
    <w:rsid w:val="00F742AD"/>
    <w:rsid w:val="00F75345"/>
    <w:rsid w:val="00F75772"/>
    <w:rsid w:val="00F759FC"/>
    <w:rsid w:val="00F768C1"/>
    <w:rsid w:val="00F85D98"/>
    <w:rsid w:val="00F86825"/>
    <w:rsid w:val="00F86EDF"/>
    <w:rsid w:val="00F87BA6"/>
    <w:rsid w:val="00F90495"/>
    <w:rsid w:val="00F9324D"/>
    <w:rsid w:val="00F93931"/>
    <w:rsid w:val="00F978A9"/>
    <w:rsid w:val="00FA0E50"/>
    <w:rsid w:val="00FA15A5"/>
    <w:rsid w:val="00FA2C2A"/>
    <w:rsid w:val="00FA3E2D"/>
    <w:rsid w:val="00FA5392"/>
    <w:rsid w:val="00FB19BD"/>
    <w:rsid w:val="00FB20F8"/>
    <w:rsid w:val="00FB42B1"/>
    <w:rsid w:val="00FB4D28"/>
    <w:rsid w:val="00FB4DB4"/>
    <w:rsid w:val="00FB5B14"/>
    <w:rsid w:val="00FB5DBD"/>
    <w:rsid w:val="00FB673D"/>
    <w:rsid w:val="00FB6744"/>
    <w:rsid w:val="00FB68B6"/>
    <w:rsid w:val="00FB6DBE"/>
    <w:rsid w:val="00FB7C06"/>
    <w:rsid w:val="00FC1C31"/>
    <w:rsid w:val="00FC225C"/>
    <w:rsid w:val="00FC2548"/>
    <w:rsid w:val="00FC3D99"/>
    <w:rsid w:val="00FC5950"/>
    <w:rsid w:val="00FC7208"/>
    <w:rsid w:val="00FD29EB"/>
    <w:rsid w:val="00FD2BA6"/>
    <w:rsid w:val="00FD366D"/>
    <w:rsid w:val="00FD3DEE"/>
    <w:rsid w:val="00FD44C6"/>
    <w:rsid w:val="00FD5AEF"/>
    <w:rsid w:val="00FD5E78"/>
    <w:rsid w:val="00FD6151"/>
    <w:rsid w:val="00FD7EDB"/>
    <w:rsid w:val="00FE0FDB"/>
    <w:rsid w:val="00FE184E"/>
    <w:rsid w:val="00FE280F"/>
    <w:rsid w:val="00FE2AD4"/>
    <w:rsid w:val="00FE3DC9"/>
    <w:rsid w:val="00FE41C1"/>
    <w:rsid w:val="00FF06A3"/>
    <w:rsid w:val="00FF0775"/>
    <w:rsid w:val="00FF1852"/>
    <w:rsid w:val="00FF4314"/>
    <w:rsid w:val="00FF5A56"/>
    <w:rsid w:val="00FF61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CAFB5"/>
  <w15:docId w15:val="{9B12F58F-DCD5-5946-8D8A-4D534592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783"/>
    <w:rPr>
      <w:sz w:val="24"/>
      <w:szCs w:val="24"/>
    </w:rPr>
  </w:style>
  <w:style w:type="paragraph" w:styleId="Titre1">
    <w:name w:val="heading 1"/>
    <w:basedOn w:val="Normal"/>
    <w:next w:val="Normal"/>
    <w:qFormat/>
    <w:rsid w:val="004C16FF"/>
    <w:pPr>
      <w:keepNext/>
      <w:tabs>
        <w:tab w:val="left" w:pos="1701"/>
        <w:tab w:val="left" w:pos="1927"/>
      </w:tabs>
      <w:spacing w:line="360" w:lineRule="atLeast"/>
      <w:ind w:left="860" w:hanging="280"/>
      <w:jc w:val="center"/>
      <w:outlineLvl w:val="0"/>
    </w:pPr>
    <w:rPr>
      <w:b/>
      <w:color w:val="000000"/>
      <w:sz w:val="28"/>
      <w:szCs w:val="20"/>
    </w:rPr>
  </w:style>
  <w:style w:type="paragraph" w:styleId="Titre2">
    <w:name w:val="heading 2"/>
    <w:basedOn w:val="Normal"/>
    <w:next w:val="Normal"/>
    <w:qFormat/>
    <w:rsid w:val="004C16FF"/>
    <w:pPr>
      <w:keepNext/>
      <w:pBdr>
        <w:top w:val="single" w:sz="6" w:space="1" w:color="auto"/>
        <w:left w:val="single" w:sz="6" w:space="1" w:color="auto"/>
        <w:bottom w:val="single" w:sz="6" w:space="1" w:color="auto"/>
        <w:right w:val="single" w:sz="6" w:space="1" w:color="auto"/>
      </w:pBdr>
      <w:shd w:val="pct10" w:color="auto" w:fill="auto"/>
      <w:jc w:val="center"/>
      <w:outlineLvl w:val="1"/>
    </w:pPr>
    <w:rPr>
      <w:b/>
      <w:bCs/>
      <w:color w:val="000000"/>
      <w:sz w:val="36"/>
      <w:szCs w:val="20"/>
    </w:rPr>
  </w:style>
  <w:style w:type="paragraph" w:styleId="Titre3">
    <w:name w:val="heading 3"/>
    <w:basedOn w:val="Normal"/>
    <w:next w:val="Normal"/>
    <w:qFormat/>
    <w:rsid w:val="004C16FF"/>
    <w:pPr>
      <w:keepNext/>
      <w:outlineLvl w:val="2"/>
    </w:pPr>
    <w:rPr>
      <w:b/>
      <w:i/>
      <w:color w:val="000000"/>
      <w:szCs w:val="20"/>
      <w:u w:val="single"/>
    </w:rPr>
  </w:style>
  <w:style w:type="paragraph" w:styleId="Titre4">
    <w:name w:val="heading 4"/>
    <w:basedOn w:val="Normal"/>
    <w:next w:val="Normal"/>
    <w:qFormat/>
    <w:rsid w:val="004C16FF"/>
    <w:pPr>
      <w:keepNext/>
      <w:ind w:right="1871"/>
      <w:outlineLvl w:val="3"/>
    </w:pPr>
    <w:rPr>
      <w:b/>
      <w:color w:val="000000"/>
      <w:szCs w:val="20"/>
    </w:rPr>
  </w:style>
  <w:style w:type="paragraph" w:styleId="Titre5">
    <w:name w:val="heading 5"/>
    <w:basedOn w:val="Normal"/>
    <w:next w:val="Normal"/>
    <w:qFormat/>
    <w:rsid w:val="004C16FF"/>
    <w:pPr>
      <w:keepNext/>
      <w:tabs>
        <w:tab w:val="left" w:pos="1701"/>
        <w:tab w:val="left" w:pos="1927"/>
      </w:tabs>
      <w:spacing w:line="360" w:lineRule="atLeast"/>
      <w:ind w:left="840" w:hanging="220"/>
      <w:jc w:val="center"/>
      <w:outlineLvl w:val="4"/>
    </w:pPr>
    <w:rPr>
      <w:b/>
      <w:bCs/>
      <w:color w:val="000000"/>
      <w:sz w:val="28"/>
      <w:szCs w:val="20"/>
    </w:rPr>
  </w:style>
  <w:style w:type="paragraph" w:styleId="Titre7">
    <w:name w:val="heading 7"/>
    <w:basedOn w:val="Normal"/>
    <w:next w:val="Normal"/>
    <w:qFormat/>
    <w:rsid w:val="00635791"/>
    <w:pPr>
      <w:spacing w:before="240" w:after="60"/>
      <w:outlineLvl w:val="6"/>
    </w:pPr>
    <w:rPr>
      <w:color w:val="000000"/>
      <w:lang w:val="en-US"/>
    </w:rPr>
  </w:style>
  <w:style w:type="paragraph" w:styleId="Titre8">
    <w:name w:val="heading 8"/>
    <w:basedOn w:val="Normal"/>
    <w:next w:val="Normal"/>
    <w:qFormat/>
    <w:rsid w:val="00635791"/>
    <w:pPr>
      <w:spacing w:before="240" w:after="60"/>
      <w:outlineLvl w:val="7"/>
    </w:pPr>
    <w:rPr>
      <w:i/>
      <w:iCs/>
      <w:color w:val="000000"/>
      <w:lang w:val="en-US"/>
    </w:rPr>
  </w:style>
  <w:style w:type="paragraph" w:styleId="Titre9">
    <w:name w:val="heading 9"/>
    <w:basedOn w:val="Normal"/>
    <w:next w:val="Normal"/>
    <w:qFormat/>
    <w:rsid w:val="009A06CE"/>
    <w:pPr>
      <w:spacing w:before="240" w:after="60"/>
      <w:outlineLvl w:val="8"/>
    </w:pPr>
    <w:rPr>
      <w:rFonts w:ascii="Arial" w:hAnsi="Arial" w:cs="Arial"/>
      <w:color w:val="000000"/>
      <w:sz w:val="22"/>
      <w:szCs w:val="22"/>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semiHidden/>
    <w:rsid w:val="004C16FF"/>
    <w:pPr>
      <w:tabs>
        <w:tab w:val="right" w:leader="dot" w:pos="8504"/>
      </w:tabs>
      <w:ind w:right="850"/>
    </w:pPr>
    <w:rPr>
      <w:color w:val="000000"/>
      <w:szCs w:val="20"/>
      <w:lang w:val="en-US"/>
    </w:rPr>
  </w:style>
  <w:style w:type="paragraph" w:styleId="Pieddepage">
    <w:name w:val="footer"/>
    <w:basedOn w:val="Normal"/>
    <w:rsid w:val="004C16FF"/>
    <w:pPr>
      <w:tabs>
        <w:tab w:val="center" w:pos="4252"/>
        <w:tab w:val="right" w:pos="8504"/>
      </w:tabs>
    </w:pPr>
    <w:rPr>
      <w:color w:val="000000"/>
      <w:szCs w:val="20"/>
      <w:lang w:val="en-US"/>
    </w:rPr>
  </w:style>
  <w:style w:type="character" w:styleId="Numrodepage">
    <w:name w:val="page number"/>
    <w:basedOn w:val="Policepardfaut"/>
    <w:rsid w:val="004C16FF"/>
    <w:rPr>
      <w:color w:val="000000"/>
    </w:rPr>
  </w:style>
  <w:style w:type="paragraph" w:customStyle="1" w:styleId="alain-habi">
    <w:name w:val="alain - habi"/>
    <w:basedOn w:val="Normal"/>
    <w:rsid w:val="004C16FF"/>
    <w:pPr>
      <w:spacing w:line="360" w:lineRule="atLeast"/>
      <w:jc w:val="both"/>
    </w:pPr>
  </w:style>
  <w:style w:type="paragraph" w:customStyle="1" w:styleId="titre">
    <w:name w:val="titre"/>
    <w:basedOn w:val="Normal"/>
    <w:next w:val="Normal"/>
    <w:rsid w:val="004C16FF"/>
    <w:pPr>
      <w:pBdr>
        <w:top w:val="single" w:sz="6" w:space="1" w:color="auto"/>
        <w:left w:val="single" w:sz="6" w:space="1" w:color="auto"/>
        <w:bottom w:val="single" w:sz="6" w:space="1" w:color="auto"/>
        <w:right w:val="single" w:sz="6" w:space="1" w:color="auto"/>
      </w:pBdr>
      <w:jc w:val="both"/>
    </w:pPr>
    <w:rPr>
      <w:rFonts w:ascii="Chicago" w:hAnsi="Chicago"/>
    </w:rPr>
  </w:style>
  <w:style w:type="paragraph" w:styleId="Explorateurdedocuments">
    <w:name w:val="Document Map"/>
    <w:basedOn w:val="Normal"/>
    <w:semiHidden/>
    <w:rsid w:val="004C16FF"/>
    <w:pPr>
      <w:shd w:val="clear" w:color="auto" w:fill="000080"/>
    </w:pPr>
    <w:rPr>
      <w:rFonts w:ascii="Tahoma" w:hAnsi="Tahoma"/>
    </w:rPr>
  </w:style>
  <w:style w:type="paragraph" w:styleId="Retraitcorpsdetexte">
    <w:name w:val="Body Text Indent"/>
    <w:basedOn w:val="Normal"/>
    <w:rsid w:val="004C16FF"/>
    <w:pPr>
      <w:spacing w:line="360" w:lineRule="atLeast"/>
      <w:ind w:left="709"/>
    </w:pPr>
    <w:rPr>
      <w:color w:val="000000"/>
      <w:szCs w:val="20"/>
    </w:rPr>
  </w:style>
  <w:style w:type="paragraph" w:customStyle="1" w:styleId="Corpsdetexte21">
    <w:name w:val="Corps de texte 21"/>
    <w:basedOn w:val="Normal"/>
    <w:rsid w:val="004C16FF"/>
    <w:pPr>
      <w:tabs>
        <w:tab w:val="left" w:pos="284"/>
      </w:tabs>
      <w:ind w:left="284" w:hanging="284"/>
      <w:jc w:val="both"/>
    </w:pPr>
    <w:rPr>
      <w:rFonts w:ascii="Arial" w:hAnsi="Arial" w:cs="Arial"/>
      <w:lang w:eastAsia="zh-CN"/>
    </w:rPr>
  </w:style>
  <w:style w:type="paragraph" w:styleId="PrformatHTML">
    <w:name w:val="HTML Preformatted"/>
    <w:basedOn w:val="Normal"/>
    <w:rsid w:val="004C1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styleId="Lienhypertexte">
    <w:name w:val="Hyperlink"/>
    <w:basedOn w:val="Policepardfaut"/>
    <w:rsid w:val="00A85F46"/>
    <w:rPr>
      <w:color w:val="0000FF"/>
      <w:u w:val="single"/>
    </w:rPr>
  </w:style>
  <w:style w:type="paragraph" w:styleId="Corpsdetexte">
    <w:name w:val="Body Text"/>
    <w:basedOn w:val="Normal"/>
    <w:rsid w:val="009A06CE"/>
    <w:pPr>
      <w:spacing w:after="120"/>
    </w:pPr>
    <w:rPr>
      <w:color w:val="000000"/>
      <w:szCs w:val="20"/>
      <w:lang w:val="en-US"/>
    </w:rPr>
  </w:style>
  <w:style w:type="character" w:styleId="Appelnotedebasdep">
    <w:name w:val="footnote reference"/>
    <w:basedOn w:val="Policepardfaut"/>
    <w:semiHidden/>
    <w:rsid w:val="009A06CE"/>
    <w:rPr>
      <w:vertAlign w:val="superscript"/>
    </w:rPr>
  </w:style>
  <w:style w:type="paragraph" w:styleId="Notedebasdepage">
    <w:name w:val="footnote text"/>
    <w:basedOn w:val="Normal"/>
    <w:semiHidden/>
    <w:rsid w:val="009A06CE"/>
    <w:pPr>
      <w:spacing w:line="360" w:lineRule="auto"/>
      <w:jc w:val="both"/>
    </w:pPr>
    <w:rPr>
      <w:sz w:val="20"/>
      <w:szCs w:val="20"/>
    </w:rPr>
  </w:style>
  <w:style w:type="paragraph" w:styleId="Titre0">
    <w:name w:val="Title"/>
    <w:basedOn w:val="Normal"/>
    <w:qFormat/>
    <w:rsid w:val="009A06CE"/>
    <w:pPr>
      <w:spacing w:line="360" w:lineRule="auto"/>
      <w:jc w:val="center"/>
    </w:pPr>
    <w:rPr>
      <w:b/>
      <w:bCs/>
      <w:sz w:val="32"/>
    </w:rPr>
  </w:style>
  <w:style w:type="character" w:customStyle="1" w:styleId="searchword">
    <w:name w:val="searchword"/>
    <w:basedOn w:val="Policepardfaut"/>
    <w:rsid w:val="00063BFD"/>
    <w:rPr>
      <w:shd w:val="clear" w:color="auto" w:fill="FFFF00"/>
    </w:rPr>
  </w:style>
  <w:style w:type="paragraph" w:styleId="Textedebulles">
    <w:name w:val="Balloon Text"/>
    <w:basedOn w:val="Normal"/>
    <w:semiHidden/>
    <w:rsid w:val="00CE0F91"/>
    <w:rPr>
      <w:rFonts w:ascii="Tahoma" w:hAnsi="Tahoma" w:cs="Tahoma"/>
      <w:sz w:val="16"/>
      <w:szCs w:val="16"/>
    </w:rPr>
  </w:style>
  <w:style w:type="paragraph" w:customStyle="1" w:styleId="E-TextePAO">
    <w:name w:val="E-Texte PAO"/>
    <w:next w:val="Normal"/>
    <w:rsid w:val="00583F48"/>
    <w:pPr>
      <w:spacing w:before="170" w:line="240" w:lineRule="exact"/>
      <w:ind w:firstLine="567"/>
      <w:jc w:val="both"/>
    </w:pPr>
    <w:rPr>
      <w:rFonts w:ascii="Trebuchet MS" w:eastAsia="Times" w:hAnsi="Trebuchet MS"/>
      <w:noProof/>
      <w:sz w:val="18"/>
    </w:rPr>
  </w:style>
  <w:style w:type="character" w:customStyle="1" w:styleId="apple-converted-space">
    <w:name w:val="apple-converted-space"/>
    <w:basedOn w:val="Policepardfaut"/>
    <w:rsid w:val="00882B93"/>
  </w:style>
  <w:style w:type="character" w:styleId="Lienhypertextesuivivisit">
    <w:name w:val="FollowedHyperlink"/>
    <w:basedOn w:val="Policepardfaut"/>
    <w:rsid w:val="00D63AE5"/>
    <w:rPr>
      <w:color w:val="800080" w:themeColor="followedHyperlink"/>
      <w:u w:val="single"/>
    </w:rPr>
  </w:style>
  <w:style w:type="paragraph" w:styleId="NormalWeb">
    <w:name w:val="Normal (Web)"/>
    <w:basedOn w:val="Normal"/>
    <w:semiHidden/>
    <w:unhideWhenUsed/>
    <w:rsid w:val="00EA5C49"/>
  </w:style>
  <w:style w:type="character" w:styleId="Mentionnonrsolue">
    <w:name w:val="Unresolved Mention"/>
    <w:basedOn w:val="Policepardfaut"/>
    <w:uiPriority w:val="99"/>
    <w:semiHidden/>
    <w:unhideWhenUsed/>
    <w:rsid w:val="008940D3"/>
    <w:rPr>
      <w:color w:val="605E5C"/>
      <w:shd w:val="clear" w:color="auto" w:fill="E1DFDD"/>
    </w:rPr>
  </w:style>
  <w:style w:type="character" w:styleId="Marquedecommentaire">
    <w:name w:val="annotation reference"/>
    <w:uiPriority w:val="99"/>
    <w:semiHidden/>
    <w:rsid w:val="001345BD"/>
    <w:rPr>
      <w:sz w:val="16"/>
      <w:szCs w:val="16"/>
    </w:rPr>
  </w:style>
  <w:style w:type="paragraph" w:styleId="Commentaire">
    <w:name w:val="annotation text"/>
    <w:basedOn w:val="Normal"/>
    <w:link w:val="CommentaireCar"/>
    <w:uiPriority w:val="99"/>
    <w:semiHidden/>
    <w:rsid w:val="001345BD"/>
    <w:pPr>
      <w:spacing w:after="200"/>
    </w:pPr>
    <w:rPr>
      <w:rFonts w:ascii="Cambria" w:eastAsia="Cambria" w:hAnsi="Cambria"/>
      <w:sz w:val="20"/>
      <w:szCs w:val="20"/>
      <w:lang w:eastAsia="en-US"/>
    </w:rPr>
  </w:style>
  <w:style w:type="character" w:customStyle="1" w:styleId="CommentaireCar">
    <w:name w:val="Commentaire Car"/>
    <w:basedOn w:val="Policepardfaut"/>
    <w:link w:val="Commentaire"/>
    <w:uiPriority w:val="99"/>
    <w:semiHidden/>
    <w:rsid w:val="001345BD"/>
    <w:rPr>
      <w:rFonts w:ascii="Cambria" w:eastAsia="Cambria" w:hAnsi="Cambria"/>
      <w:lang w:eastAsia="en-US"/>
    </w:rPr>
  </w:style>
  <w:style w:type="paragraph" w:styleId="Paragraphedeliste">
    <w:name w:val="List Paragraph"/>
    <w:basedOn w:val="Normal"/>
    <w:uiPriority w:val="34"/>
    <w:qFormat/>
    <w:rsid w:val="00CD25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9625">
      <w:bodyDiv w:val="1"/>
      <w:marLeft w:val="0"/>
      <w:marRight w:val="0"/>
      <w:marTop w:val="0"/>
      <w:marBottom w:val="0"/>
      <w:divBdr>
        <w:top w:val="none" w:sz="0" w:space="0" w:color="auto"/>
        <w:left w:val="none" w:sz="0" w:space="0" w:color="auto"/>
        <w:bottom w:val="none" w:sz="0" w:space="0" w:color="auto"/>
        <w:right w:val="none" w:sz="0" w:space="0" w:color="auto"/>
      </w:divBdr>
    </w:div>
    <w:div w:id="59981768">
      <w:bodyDiv w:val="1"/>
      <w:marLeft w:val="0"/>
      <w:marRight w:val="0"/>
      <w:marTop w:val="0"/>
      <w:marBottom w:val="0"/>
      <w:divBdr>
        <w:top w:val="none" w:sz="0" w:space="0" w:color="auto"/>
        <w:left w:val="none" w:sz="0" w:space="0" w:color="auto"/>
        <w:bottom w:val="none" w:sz="0" w:space="0" w:color="auto"/>
        <w:right w:val="none" w:sz="0" w:space="0" w:color="auto"/>
      </w:divBdr>
    </w:div>
    <w:div w:id="102386162">
      <w:bodyDiv w:val="1"/>
      <w:marLeft w:val="0"/>
      <w:marRight w:val="0"/>
      <w:marTop w:val="0"/>
      <w:marBottom w:val="0"/>
      <w:divBdr>
        <w:top w:val="none" w:sz="0" w:space="0" w:color="auto"/>
        <w:left w:val="none" w:sz="0" w:space="0" w:color="auto"/>
        <w:bottom w:val="none" w:sz="0" w:space="0" w:color="auto"/>
        <w:right w:val="none" w:sz="0" w:space="0" w:color="auto"/>
      </w:divBdr>
    </w:div>
    <w:div w:id="146361118">
      <w:bodyDiv w:val="1"/>
      <w:marLeft w:val="0"/>
      <w:marRight w:val="0"/>
      <w:marTop w:val="0"/>
      <w:marBottom w:val="0"/>
      <w:divBdr>
        <w:top w:val="none" w:sz="0" w:space="0" w:color="auto"/>
        <w:left w:val="none" w:sz="0" w:space="0" w:color="auto"/>
        <w:bottom w:val="none" w:sz="0" w:space="0" w:color="auto"/>
        <w:right w:val="none" w:sz="0" w:space="0" w:color="auto"/>
      </w:divBdr>
    </w:div>
    <w:div w:id="186257252">
      <w:bodyDiv w:val="1"/>
      <w:marLeft w:val="0"/>
      <w:marRight w:val="0"/>
      <w:marTop w:val="0"/>
      <w:marBottom w:val="0"/>
      <w:divBdr>
        <w:top w:val="none" w:sz="0" w:space="0" w:color="auto"/>
        <w:left w:val="none" w:sz="0" w:space="0" w:color="auto"/>
        <w:bottom w:val="none" w:sz="0" w:space="0" w:color="auto"/>
        <w:right w:val="none" w:sz="0" w:space="0" w:color="auto"/>
      </w:divBdr>
    </w:div>
    <w:div w:id="202789151">
      <w:bodyDiv w:val="1"/>
      <w:marLeft w:val="0"/>
      <w:marRight w:val="0"/>
      <w:marTop w:val="0"/>
      <w:marBottom w:val="0"/>
      <w:divBdr>
        <w:top w:val="none" w:sz="0" w:space="0" w:color="auto"/>
        <w:left w:val="none" w:sz="0" w:space="0" w:color="auto"/>
        <w:bottom w:val="none" w:sz="0" w:space="0" w:color="auto"/>
        <w:right w:val="none" w:sz="0" w:space="0" w:color="auto"/>
      </w:divBdr>
    </w:div>
    <w:div w:id="211041412">
      <w:bodyDiv w:val="1"/>
      <w:marLeft w:val="0"/>
      <w:marRight w:val="0"/>
      <w:marTop w:val="0"/>
      <w:marBottom w:val="0"/>
      <w:divBdr>
        <w:top w:val="none" w:sz="0" w:space="0" w:color="auto"/>
        <w:left w:val="none" w:sz="0" w:space="0" w:color="auto"/>
        <w:bottom w:val="none" w:sz="0" w:space="0" w:color="auto"/>
        <w:right w:val="none" w:sz="0" w:space="0" w:color="auto"/>
      </w:divBdr>
    </w:div>
    <w:div w:id="224613464">
      <w:bodyDiv w:val="1"/>
      <w:marLeft w:val="0"/>
      <w:marRight w:val="0"/>
      <w:marTop w:val="0"/>
      <w:marBottom w:val="0"/>
      <w:divBdr>
        <w:top w:val="none" w:sz="0" w:space="0" w:color="auto"/>
        <w:left w:val="none" w:sz="0" w:space="0" w:color="auto"/>
        <w:bottom w:val="none" w:sz="0" w:space="0" w:color="auto"/>
        <w:right w:val="none" w:sz="0" w:space="0" w:color="auto"/>
      </w:divBdr>
    </w:div>
    <w:div w:id="249395139">
      <w:bodyDiv w:val="1"/>
      <w:marLeft w:val="0"/>
      <w:marRight w:val="0"/>
      <w:marTop w:val="0"/>
      <w:marBottom w:val="0"/>
      <w:divBdr>
        <w:top w:val="none" w:sz="0" w:space="0" w:color="auto"/>
        <w:left w:val="none" w:sz="0" w:space="0" w:color="auto"/>
        <w:bottom w:val="none" w:sz="0" w:space="0" w:color="auto"/>
        <w:right w:val="none" w:sz="0" w:space="0" w:color="auto"/>
      </w:divBdr>
    </w:div>
    <w:div w:id="252593212">
      <w:bodyDiv w:val="1"/>
      <w:marLeft w:val="0"/>
      <w:marRight w:val="0"/>
      <w:marTop w:val="0"/>
      <w:marBottom w:val="0"/>
      <w:divBdr>
        <w:top w:val="none" w:sz="0" w:space="0" w:color="auto"/>
        <w:left w:val="none" w:sz="0" w:space="0" w:color="auto"/>
        <w:bottom w:val="none" w:sz="0" w:space="0" w:color="auto"/>
        <w:right w:val="none" w:sz="0" w:space="0" w:color="auto"/>
      </w:divBdr>
      <w:divsChild>
        <w:div w:id="628128200">
          <w:marLeft w:val="0"/>
          <w:marRight w:val="0"/>
          <w:marTop w:val="0"/>
          <w:marBottom w:val="0"/>
          <w:divBdr>
            <w:top w:val="none" w:sz="0" w:space="0" w:color="auto"/>
            <w:left w:val="none" w:sz="0" w:space="0" w:color="auto"/>
            <w:bottom w:val="none" w:sz="0" w:space="0" w:color="auto"/>
            <w:right w:val="none" w:sz="0" w:space="0" w:color="auto"/>
          </w:divBdr>
          <w:divsChild>
            <w:div w:id="152462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823422">
      <w:bodyDiv w:val="1"/>
      <w:marLeft w:val="0"/>
      <w:marRight w:val="0"/>
      <w:marTop w:val="0"/>
      <w:marBottom w:val="0"/>
      <w:divBdr>
        <w:top w:val="none" w:sz="0" w:space="0" w:color="auto"/>
        <w:left w:val="none" w:sz="0" w:space="0" w:color="auto"/>
        <w:bottom w:val="none" w:sz="0" w:space="0" w:color="auto"/>
        <w:right w:val="none" w:sz="0" w:space="0" w:color="auto"/>
      </w:divBdr>
    </w:div>
    <w:div w:id="261110359">
      <w:bodyDiv w:val="1"/>
      <w:marLeft w:val="0"/>
      <w:marRight w:val="0"/>
      <w:marTop w:val="0"/>
      <w:marBottom w:val="0"/>
      <w:divBdr>
        <w:top w:val="none" w:sz="0" w:space="0" w:color="auto"/>
        <w:left w:val="none" w:sz="0" w:space="0" w:color="auto"/>
        <w:bottom w:val="none" w:sz="0" w:space="0" w:color="auto"/>
        <w:right w:val="none" w:sz="0" w:space="0" w:color="auto"/>
      </w:divBdr>
    </w:div>
    <w:div w:id="275404655">
      <w:bodyDiv w:val="1"/>
      <w:marLeft w:val="0"/>
      <w:marRight w:val="0"/>
      <w:marTop w:val="0"/>
      <w:marBottom w:val="0"/>
      <w:divBdr>
        <w:top w:val="none" w:sz="0" w:space="0" w:color="auto"/>
        <w:left w:val="none" w:sz="0" w:space="0" w:color="auto"/>
        <w:bottom w:val="none" w:sz="0" w:space="0" w:color="auto"/>
        <w:right w:val="none" w:sz="0" w:space="0" w:color="auto"/>
      </w:divBdr>
    </w:div>
    <w:div w:id="280304776">
      <w:bodyDiv w:val="1"/>
      <w:marLeft w:val="0"/>
      <w:marRight w:val="0"/>
      <w:marTop w:val="0"/>
      <w:marBottom w:val="0"/>
      <w:divBdr>
        <w:top w:val="none" w:sz="0" w:space="0" w:color="auto"/>
        <w:left w:val="none" w:sz="0" w:space="0" w:color="auto"/>
        <w:bottom w:val="none" w:sz="0" w:space="0" w:color="auto"/>
        <w:right w:val="none" w:sz="0" w:space="0" w:color="auto"/>
      </w:divBdr>
    </w:div>
    <w:div w:id="294986642">
      <w:bodyDiv w:val="1"/>
      <w:marLeft w:val="0"/>
      <w:marRight w:val="0"/>
      <w:marTop w:val="0"/>
      <w:marBottom w:val="0"/>
      <w:divBdr>
        <w:top w:val="none" w:sz="0" w:space="0" w:color="auto"/>
        <w:left w:val="none" w:sz="0" w:space="0" w:color="auto"/>
        <w:bottom w:val="none" w:sz="0" w:space="0" w:color="auto"/>
        <w:right w:val="none" w:sz="0" w:space="0" w:color="auto"/>
      </w:divBdr>
    </w:div>
    <w:div w:id="339047087">
      <w:bodyDiv w:val="1"/>
      <w:marLeft w:val="0"/>
      <w:marRight w:val="0"/>
      <w:marTop w:val="0"/>
      <w:marBottom w:val="0"/>
      <w:divBdr>
        <w:top w:val="none" w:sz="0" w:space="0" w:color="auto"/>
        <w:left w:val="none" w:sz="0" w:space="0" w:color="auto"/>
        <w:bottom w:val="none" w:sz="0" w:space="0" w:color="auto"/>
        <w:right w:val="none" w:sz="0" w:space="0" w:color="auto"/>
      </w:divBdr>
    </w:div>
    <w:div w:id="348724930">
      <w:bodyDiv w:val="1"/>
      <w:marLeft w:val="0"/>
      <w:marRight w:val="0"/>
      <w:marTop w:val="0"/>
      <w:marBottom w:val="0"/>
      <w:divBdr>
        <w:top w:val="none" w:sz="0" w:space="0" w:color="auto"/>
        <w:left w:val="none" w:sz="0" w:space="0" w:color="auto"/>
        <w:bottom w:val="none" w:sz="0" w:space="0" w:color="auto"/>
        <w:right w:val="none" w:sz="0" w:space="0" w:color="auto"/>
      </w:divBdr>
    </w:div>
    <w:div w:id="352153447">
      <w:bodyDiv w:val="1"/>
      <w:marLeft w:val="0"/>
      <w:marRight w:val="0"/>
      <w:marTop w:val="0"/>
      <w:marBottom w:val="0"/>
      <w:divBdr>
        <w:top w:val="none" w:sz="0" w:space="0" w:color="auto"/>
        <w:left w:val="none" w:sz="0" w:space="0" w:color="auto"/>
        <w:bottom w:val="none" w:sz="0" w:space="0" w:color="auto"/>
        <w:right w:val="none" w:sz="0" w:space="0" w:color="auto"/>
      </w:divBdr>
    </w:div>
    <w:div w:id="373426677">
      <w:bodyDiv w:val="1"/>
      <w:marLeft w:val="0"/>
      <w:marRight w:val="0"/>
      <w:marTop w:val="0"/>
      <w:marBottom w:val="0"/>
      <w:divBdr>
        <w:top w:val="none" w:sz="0" w:space="0" w:color="auto"/>
        <w:left w:val="none" w:sz="0" w:space="0" w:color="auto"/>
        <w:bottom w:val="none" w:sz="0" w:space="0" w:color="auto"/>
        <w:right w:val="none" w:sz="0" w:space="0" w:color="auto"/>
      </w:divBdr>
    </w:div>
    <w:div w:id="376971697">
      <w:bodyDiv w:val="1"/>
      <w:marLeft w:val="0"/>
      <w:marRight w:val="0"/>
      <w:marTop w:val="0"/>
      <w:marBottom w:val="0"/>
      <w:divBdr>
        <w:top w:val="none" w:sz="0" w:space="0" w:color="auto"/>
        <w:left w:val="none" w:sz="0" w:space="0" w:color="auto"/>
        <w:bottom w:val="none" w:sz="0" w:space="0" w:color="auto"/>
        <w:right w:val="none" w:sz="0" w:space="0" w:color="auto"/>
      </w:divBdr>
    </w:div>
    <w:div w:id="385877607">
      <w:bodyDiv w:val="1"/>
      <w:marLeft w:val="0"/>
      <w:marRight w:val="0"/>
      <w:marTop w:val="0"/>
      <w:marBottom w:val="0"/>
      <w:divBdr>
        <w:top w:val="none" w:sz="0" w:space="0" w:color="auto"/>
        <w:left w:val="none" w:sz="0" w:space="0" w:color="auto"/>
        <w:bottom w:val="none" w:sz="0" w:space="0" w:color="auto"/>
        <w:right w:val="none" w:sz="0" w:space="0" w:color="auto"/>
      </w:divBdr>
    </w:div>
    <w:div w:id="388652633">
      <w:bodyDiv w:val="1"/>
      <w:marLeft w:val="0"/>
      <w:marRight w:val="0"/>
      <w:marTop w:val="0"/>
      <w:marBottom w:val="0"/>
      <w:divBdr>
        <w:top w:val="none" w:sz="0" w:space="0" w:color="auto"/>
        <w:left w:val="none" w:sz="0" w:space="0" w:color="auto"/>
        <w:bottom w:val="none" w:sz="0" w:space="0" w:color="auto"/>
        <w:right w:val="none" w:sz="0" w:space="0" w:color="auto"/>
      </w:divBdr>
    </w:div>
    <w:div w:id="436289358">
      <w:bodyDiv w:val="1"/>
      <w:marLeft w:val="0"/>
      <w:marRight w:val="0"/>
      <w:marTop w:val="0"/>
      <w:marBottom w:val="0"/>
      <w:divBdr>
        <w:top w:val="none" w:sz="0" w:space="0" w:color="auto"/>
        <w:left w:val="none" w:sz="0" w:space="0" w:color="auto"/>
        <w:bottom w:val="none" w:sz="0" w:space="0" w:color="auto"/>
        <w:right w:val="none" w:sz="0" w:space="0" w:color="auto"/>
      </w:divBdr>
    </w:div>
    <w:div w:id="491677646">
      <w:bodyDiv w:val="1"/>
      <w:marLeft w:val="0"/>
      <w:marRight w:val="0"/>
      <w:marTop w:val="0"/>
      <w:marBottom w:val="0"/>
      <w:divBdr>
        <w:top w:val="none" w:sz="0" w:space="0" w:color="auto"/>
        <w:left w:val="none" w:sz="0" w:space="0" w:color="auto"/>
        <w:bottom w:val="none" w:sz="0" w:space="0" w:color="auto"/>
        <w:right w:val="none" w:sz="0" w:space="0" w:color="auto"/>
      </w:divBdr>
    </w:div>
    <w:div w:id="501239154">
      <w:bodyDiv w:val="1"/>
      <w:marLeft w:val="0"/>
      <w:marRight w:val="0"/>
      <w:marTop w:val="0"/>
      <w:marBottom w:val="0"/>
      <w:divBdr>
        <w:top w:val="none" w:sz="0" w:space="0" w:color="auto"/>
        <w:left w:val="none" w:sz="0" w:space="0" w:color="auto"/>
        <w:bottom w:val="none" w:sz="0" w:space="0" w:color="auto"/>
        <w:right w:val="none" w:sz="0" w:space="0" w:color="auto"/>
      </w:divBdr>
    </w:div>
    <w:div w:id="531113728">
      <w:bodyDiv w:val="1"/>
      <w:marLeft w:val="0"/>
      <w:marRight w:val="0"/>
      <w:marTop w:val="0"/>
      <w:marBottom w:val="0"/>
      <w:divBdr>
        <w:top w:val="none" w:sz="0" w:space="0" w:color="auto"/>
        <w:left w:val="none" w:sz="0" w:space="0" w:color="auto"/>
        <w:bottom w:val="none" w:sz="0" w:space="0" w:color="auto"/>
        <w:right w:val="none" w:sz="0" w:space="0" w:color="auto"/>
      </w:divBdr>
    </w:div>
    <w:div w:id="554968002">
      <w:bodyDiv w:val="1"/>
      <w:marLeft w:val="0"/>
      <w:marRight w:val="0"/>
      <w:marTop w:val="0"/>
      <w:marBottom w:val="0"/>
      <w:divBdr>
        <w:top w:val="none" w:sz="0" w:space="0" w:color="auto"/>
        <w:left w:val="none" w:sz="0" w:space="0" w:color="auto"/>
        <w:bottom w:val="none" w:sz="0" w:space="0" w:color="auto"/>
        <w:right w:val="none" w:sz="0" w:space="0" w:color="auto"/>
      </w:divBdr>
    </w:div>
    <w:div w:id="573704238">
      <w:bodyDiv w:val="1"/>
      <w:marLeft w:val="0"/>
      <w:marRight w:val="0"/>
      <w:marTop w:val="0"/>
      <w:marBottom w:val="0"/>
      <w:divBdr>
        <w:top w:val="none" w:sz="0" w:space="0" w:color="auto"/>
        <w:left w:val="none" w:sz="0" w:space="0" w:color="auto"/>
        <w:bottom w:val="none" w:sz="0" w:space="0" w:color="auto"/>
        <w:right w:val="none" w:sz="0" w:space="0" w:color="auto"/>
      </w:divBdr>
    </w:div>
    <w:div w:id="602422317">
      <w:bodyDiv w:val="1"/>
      <w:marLeft w:val="0"/>
      <w:marRight w:val="0"/>
      <w:marTop w:val="0"/>
      <w:marBottom w:val="0"/>
      <w:divBdr>
        <w:top w:val="none" w:sz="0" w:space="0" w:color="auto"/>
        <w:left w:val="none" w:sz="0" w:space="0" w:color="auto"/>
        <w:bottom w:val="none" w:sz="0" w:space="0" w:color="auto"/>
        <w:right w:val="none" w:sz="0" w:space="0" w:color="auto"/>
      </w:divBdr>
      <w:divsChild>
        <w:div w:id="560530086">
          <w:marLeft w:val="0"/>
          <w:marRight w:val="0"/>
          <w:marTop w:val="0"/>
          <w:marBottom w:val="0"/>
          <w:divBdr>
            <w:top w:val="none" w:sz="0" w:space="0" w:color="auto"/>
            <w:left w:val="none" w:sz="0" w:space="0" w:color="auto"/>
            <w:bottom w:val="none" w:sz="0" w:space="0" w:color="auto"/>
            <w:right w:val="none" w:sz="0" w:space="0" w:color="auto"/>
          </w:divBdr>
          <w:divsChild>
            <w:div w:id="554392637">
              <w:marLeft w:val="0"/>
              <w:marRight w:val="0"/>
              <w:marTop w:val="0"/>
              <w:marBottom w:val="0"/>
              <w:divBdr>
                <w:top w:val="none" w:sz="0" w:space="0" w:color="auto"/>
                <w:left w:val="none" w:sz="0" w:space="0" w:color="auto"/>
                <w:bottom w:val="none" w:sz="0" w:space="0" w:color="auto"/>
                <w:right w:val="none" w:sz="0" w:space="0" w:color="auto"/>
              </w:divBdr>
              <w:divsChild>
                <w:div w:id="879174766">
                  <w:marLeft w:val="0"/>
                  <w:marRight w:val="0"/>
                  <w:marTop w:val="0"/>
                  <w:marBottom w:val="0"/>
                  <w:divBdr>
                    <w:top w:val="none" w:sz="0" w:space="0" w:color="auto"/>
                    <w:left w:val="none" w:sz="0" w:space="0" w:color="auto"/>
                    <w:bottom w:val="none" w:sz="0" w:space="0" w:color="auto"/>
                    <w:right w:val="none" w:sz="0" w:space="0" w:color="auto"/>
                  </w:divBdr>
                  <w:divsChild>
                    <w:div w:id="18410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26348">
      <w:bodyDiv w:val="1"/>
      <w:marLeft w:val="0"/>
      <w:marRight w:val="0"/>
      <w:marTop w:val="0"/>
      <w:marBottom w:val="0"/>
      <w:divBdr>
        <w:top w:val="none" w:sz="0" w:space="0" w:color="auto"/>
        <w:left w:val="none" w:sz="0" w:space="0" w:color="auto"/>
        <w:bottom w:val="none" w:sz="0" w:space="0" w:color="auto"/>
        <w:right w:val="none" w:sz="0" w:space="0" w:color="auto"/>
      </w:divBdr>
    </w:div>
    <w:div w:id="653533706">
      <w:bodyDiv w:val="1"/>
      <w:marLeft w:val="0"/>
      <w:marRight w:val="0"/>
      <w:marTop w:val="0"/>
      <w:marBottom w:val="0"/>
      <w:divBdr>
        <w:top w:val="none" w:sz="0" w:space="0" w:color="auto"/>
        <w:left w:val="none" w:sz="0" w:space="0" w:color="auto"/>
        <w:bottom w:val="none" w:sz="0" w:space="0" w:color="auto"/>
        <w:right w:val="none" w:sz="0" w:space="0" w:color="auto"/>
      </w:divBdr>
    </w:div>
    <w:div w:id="669915120">
      <w:bodyDiv w:val="1"/>
      <w:marLeft w:val="0"/>
      <w:marRight w:val="0"/>
      <w:marTop w:val="0"/>
      <w:marBottom w:val="0"/>
      <w:divBdr>
        <w:top w:val="none" w:sz="0" w:space="0" w:color="auto"/>
        <w:left w:val="none" w:sz="0" w:space="0" w:color="auto"/>
        <w:bottom w:val="none" w:sz="0" w:space="0" w:color="auto"/>
        <w:right w:val="none" w:sz="0" w:space="0" w:color="auto"/>
      </w:divBdr>
    </w:div>
    <w:div w:id="689918273">
      <w:bodyDiv w:val="1"/>
      <w:marLeft w:val="0"/>
      <w:marRight w:val="0"/>
      <w:marTop w:val="0"/>
      <w:marBottom w:val="0"/>
      <w:divBdr>
        <w:top w:val="none" w:sz="0" w:space="0" w:color="auto"/>
        <w:left w:val="none" w:sz="0" w:space="0" w:color="auto"/>
        <w:bottom w:val="none" w:sz="0" w:space="0" w:color="auto"/>
        <w:right w:val="none" w:sz="0" w:space="0" w:color="auto"/>
      </w:divBdr>
      <w:divsChild>
        <w:div w:id="1973748887">
          <w:marLeft w:val="0"/>
          <w:marRight w:val="0"/>
          <w:marTop w:val="0"/>
          <w:marBottom w:val="0"/>
          <w:divBdr>
            <w:top w:val="none" w:sz="0" w:space="0" w:color="auto"/>
            <w:left w:val="none" w:sz="0" w:space="0" w:color="auto"/>
            <w:bottom w:val="none" w:sz="0" w:space="0" w:color="auto"/>
            <w:right w:val="none" w:sz="0" w:space="0" w:color="auto"/>
          </w:divBdr>
          <w:divsChild>
            <w:div w:id="442455049">
              <w:marLeft w:val="0"/>
              <w:marRight w:val="0"/>
              <w:marTop w:val="0"/>
              <w:marBottom w:val="0"/>
              <w:divBdr>
                <w:top w:val="none" w:sz="0" w:space="0" w:color="auto"/>
                <w:left w:val="none" w:sz="0" w:space="0" w:color="auto"/>
                <w:bottom w:val="none" w:sz="0" w:space="0" w:color="auto"/>
                <w:right w:val="none" w:sz="0" w:space="0" w:color="auto"/>
              </w:divBdr>
              <w:divsChild>
                <w:div w:id="103804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5142">
      <w:bodyDiv w:val="1"/>
      <w:marLeft w:val="0"/>
      <w:marRight w:val="0"/>
      <w:marTop w:val="0"/>
      <w:marBottom w:val="0"/>
      <w:divBdr>
        <w:top w:val="none" w:sz="0" w:space="0" w:color="auto"/>
        <w:left w:val="none" w:sz="0" w:space="0" w:color="auto"/>
        <w:bottom w:val="none" w:sz="0" w:space="0" w:color="auto"/>
        <w:right w:val="none" w:sz="0" w:space="0" w:color="auto"/>
      </w:divBdr>
    </w:div>
    <w:div w:id="710960436">
      <w:bodyDiv w:val="1"/>
      <w:marLeft w:val="0"/>
      <w:marRight w:val="0"/>
      <w:marTop w:val="0"/>
      <w:marBottom w:val="0"/>
      <w:divBdr>
        <w:top w:val="none" w:sz="0" w:space="0" w:color="auto"/>
        <w:left w:val="none" w:sz="0" w:space="0" w:color="auto"/>
        <w:bottom w:val="none" w:sz="0" w:space="0" w:color="auto"/>
        <w:right w:val="none" w:sz="0" w:space="0" w:color="auto"/>
      </w:divBdr>
    </w:div>
    <w:div w:id="735590225">
      <w:bodyDiv w:val="1"/>
      <w:marLeft w:val="0"/>
      <w:marRight w:val="0"/>
      <w:marTop w:val="0"/>
      <w:marBottom w:val="0"/>
      <w:divBdr>
        <w:top w:val="none" w:sz="0" w:space="0" w:color="auto"/>
        <w:left w:val="none" w:sz="0" w:space="0" w:color="auto"/>
        <w:bottom w:val="none" w:sz="0" w:space="0" w:color="auto"/>
        <w:right w:val="none" w:sz="0" w:space="0" w:color="auto"/>
      </w:divBdr>
    </w:div>
    <w:div w:id="780028911">
      <w:bodyDiv w:val="1"/>
      <w:marLeft w:val="0"/>
      <w:marRight w:val="0"/>
      <w:marTop w:val="0"/>
      <w:marBottom w:val="0"/>
      <w:divBdr>
        <w:top w:val="none" w:sz="0" w:space="0" w:color="auto"/>
        <w:left w:val="none" w:sz="0" w:space="0" w:color="auto"/>
        <w:bottom w:val="none" w:sz="0" w:space="0" w:color="auto"/>
        <w:right w:val="none" w:sz="0" w:space="0" w:color="auto"/>
      </w:divBdr>
    </w:div>
    <w:div w:id="786192394">
      <w:bodyDiv w:val="1"/>
      <w:marLeft w:val="0"/>
      <w:marRight w:val="0"/>
      <w:marTop w:val="0"/>
      <w:marBottom w:val="0"/>
      <w:divBdr>
        <w:top w:val="none" w:sz="0" w:space="0" w:color="auto"/>
        <w:left w:val="none" w:sz="0" w:space="0" w:color="auto"/>
        <w:bottom w:val="none" w:sz="0" w:space="0" w:color="auto"/>
        <w:right w:val="none" w:sz="0" w:space="0" w:color="auto"/>
      </w:divBdr>
    </w:div>
    <w:div w:id="788281531">
      <w:bodyDiv w:val="1"/>
      <w:marLeft w:val="0"/>
      <w:marRight w:val="0"/>
      <w:marTop w:val="0"/>
      <w:marBottom w:val="0"/>
      <w:divBdr>
        <w:top w:val="none" w:sz="0" w:space="0" w:color="auto"/>
        <w:left w:val="none" w:sz="0" w:space="0" w:color="auto"/>
        <w:bottom w:val="none" w:sz="0" w:space="0" w:color="auto"/>
        <w:right w:val="none" w:sz="0" w:space="0" w:color="auto"/>
      </w:divBdr>
    </w:div>
    <w:div w:id="788744674">
      <w:bodyDiv w:val="1"/>
      <w:marLeft w:val="0"/>
      <w:marRight w:val="0"/>
      <w:marTop w:val="0"/>
      <w:marBottom w:val="0"/>
      <w:divBdr>
        <w:top w:val="none" w:sz="0" w:space="0" w:color="auto"/>
        <w:left w:val="none" w:sz="0" w:space="0" w:color="auto"/>
        <w:bottom w:val="none" w:sz="0" w:space="0" w:color="auto"/>
        <w:right w:val="none" w:sz="0" w:space="0" w:color="auto"/>
      </w:divBdr>
    </w:div>
    <w:div w:id="792018331">
      <w:bodyDiv w:val="1"/>
      <w:marLeft w:val="0"/>
      <w:marRight w:val="0"/>
      <w:marTop w:val="0"/>
      <w:marBottom w:val="0"/>
      <w:divBdr>
        <w:top w:val="none" w:sz="0" w:space="0" w:color="auto"/>
        <w:left w:val="none" w:sz="0" w:space="0" w:color="auto"/>
        <w:bottom w:val="none" w:sz="0" w:space="0" w:color="auto"/>
        <w:right w:val="none" w:sz="0" w:space="0" w:color="auto"/>
      </w:divBdr>
    </w:div>
    <w:div w:id="804279143">
      <w:bodyDiv w:val="1"/>
      <w:marLeft w:val="0"/>
      <w:marRight w:val="0"/>
      <w:marTop w:val="0"/>
      <w:marBottom w:val="0"/>
      <w:divBdr>
        <w:top w:val="none" w:sz="0" w:space="0" w:color="auto"/>
        <w:left w:val="none" w:sz="0" w:space="0" w:color="auto"/>
        <w:bottom w:val="none" w:sz="0" w:space="0" w:color="auto"/>
        <w:right w:val="none" w:sz="0" w:space="0" w:color="auto"/>
      </w:divBdr>
    </w:div>
    <w:div w:id="825166124">
      <w:bodyDiv w:val="1"/>
      <w:marLeft w:val="0"/>
      <w:marRight w:val="0"/>
      <w:marTop w:val="0"/>
      <w:marBottom w:val="0"/>
      <w:divBdr>
        <w:top w:val="none" w:sz="0" w:space="0" w:color="auto"/>
        <w:left w:val="none" w:sz="0" w:space="0" w:color="auto"/>
        <w:bottom w:val="none" w:sz="0" w:space="0" w:color="auto"/>
        <w:right w:val="none" w:sz="0" w:space="0" w:color="auto"/>
      </w:divBdr>
    </w:div>
    <w:div w:id="825780035">
      <w:bodyDiv w:val="1"/>
      <w:marLeft w:val="0"/>
      <w:marRight w:val="0"/>
      <w:marTop w:val="0"/>
      <w:marBottom w:val="0"/>
      <w:divBdr>
        <w:top w:val="none" w:sz="0" w:space="0" w:color="auto"/>
        <w:left w:val="none" w:sz="0" w:space="0" w:color="auto"/>
        <w:bottom w:val="none" w:sz="0" w:space="0" w:color="auto"/>
        <w:right w:val="none" w:sz="0" w:space="0" w:color="auto"/>
      </w:divBdr>
      <w:divsChild>
        <w:div w:id="1752266898">
          <w:marLeft w:val="0"/>
          <w:marRight w:val="0"/>
          <w:marTop w:val="0"/>
          <w:marBottom w:val="0"/>
          <w:divBdr>
            <w:top w:val="none" w:sz="0" w:space="0" w:color="auto"/>
            <w:left w:val="none" w:sz="0" w:space="0" w:color="auto"/>
            <w:bottom w:val="none" w:sz="0" w:space="0" w:color="auto"/>
            <w:right w:val="none" w:sz="0" w:space="0" w:color="auto"/>
          </w:divBdr>
          <w:divsChild>
            <w:div w:id="1615601512">
              <w:marLeft w:val="0"/>
              <w:marRight w:val="0"/>
              <w:marTop w:val="0"/>
              <w:marBottom w:val="0"/>
              <w:divBdr>
                <w:top w:val="none" w:sz="0" w:space="0" w:color="auto"/>
                <w:left w:val="none" w:sz="0" w:space="0" w:color="auto"/>
                <w:bottom w:val="none" w:sz="0" w:space="0" w:color="auto"/>
                <w:right w:val="none" w:sz="0" w:space="0" w:color="auto"/>
              </w:divBdr>
              <w:divsChild>
                <w:div w:id="35562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41254">
      <w:bodyDiv w:val="1"/>
      <w:marLeft w:val="0"/>
      <w:marRight w:val="0"/>
      <w:marTop w:val="0"/>
      <w:marBottom w:val="0"/>
      <w:divBdr>
        <w:top w:val="none" w:sz="0" w:space="0" w:color="auto"/>
        <w:left w:val="none" w:sz="0" w:space="0" w:color="auto"/>
        <w:bottom w:val="none" w:sz="0" w:space="0" w:color="auto"/>
        <w:right w:val="none" w:sz="0" w:space="0" w:color="auto"/>
      </w:divBdr>
      <w:divsChild>
        <w:div w:id="1985886910">
          <w:marLeft w:val="0"/>
          <w:marRight w:val="0"/>
          <w:marTop w:val="0"/>
          <w:marBottom w:val="0"/>
          <w:divBdr>
            <w:top w:val="none" w:sz="0" w:space="0" w:color="auto"/>
            <w:left w:val="none" w:sz="0" w:space="0" w:color="auto"/>
            <w:bottom w:val="none" w:sz="0" w:space="0" w:color="auto"/>
            <w:right w:val="none" w:sz="0" w:space="0" w:color="auto"/>
          </w:divBdr>
          <w:divsChild>
            <w:div w:id="1532496149">
              <w:marLeft w:val="0"/>
              <w:marRight w:val="0"/>
              <w:marTop w:val="0"/>
              <w:marBottom w:val="0"/>
              <w:divBdr>
                <w:top w:val="none" w:sz="0" w:space="0" w:color="auto"/>
                <w:left w:val="none" w:sz="0" w:space="0" w:color="auto"/>
                <w:bottom w:val="none" w:sz="0" w:space="0" w:color="auto"/>
                <w:right w:val="none" w:sz="0" w:space="0" w:color="auto"/>
              </w:divBdr>
              <w:divsChild>
                <w:div w:id="16877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18465">
      <w:bodyDiv w:val="1"/>
      <w:marLeft w:val="0"/>
      <w:marRight w:val="0"/>
      <w:marTop w:val="0"/>
      <w:marBottom w:val="0"/>
      <w:divBdr>
        <w:top w:val="none" w:sz="0" w:space="0" w:color="auto"/>
        <w:left w:val="none" w:sz="0" w:space="0" w:color="auto"/>
        <w:bottom w:val="none" w:sz="0" w:space="0" w:color="auto"/>
        <w:right w:val="none" w:sz="0" w:space="0" w:color="auto"/>
      </w:divBdr>
    </w:div>
    <w:div w:id="874007666">
      <w:bodyDiv w:val="1"/>
      <w:marLeft w:val="0"/>
      <w:marRight w:val="0"/>
      <w:marTop w:val="0"/>
      <w:marBottom w:val="0"/>
      <w:divBdr>
        <w:top w:val="none" w:sz="0" w:space="0" w:color="auto"/>
        <w:left w:val="none" w:sz="0" w:space="0" w:color="auto"/>
        <w:bottom w:val="none" w:sz="0" w:space="0" w:color="auto"/>
        <w:right w:val="none" w:sz="0" w:space="0" w:color="auto"/>
      </w:divBdr>
    </w:div>
    <w:div w:id="922376037">
      <w:bodyDiv w:val="1"/>
      <w:marLeft w:val="0"/>
      <w:marRight w:val="0"/>
      <w:marTop w:val="0"/>
      <w:marBottom w:val="0"/>
      <w:divBdr>
        <w:top w:val="none" w:sz="0" w:space="0" w:color="auto"/>
        <w:left w:val="none" w:sz="0" w:space="0" w:color="auto"/>
        <w:bottom w:val="none" w:sz="0" w:space="0" w:color="auto"/>
        <w:right w:val="none" w:sz="0" w:space="0" w:color="auto"/>
      </w:divBdr>
    </w:div>
    <w:div w:id="953905554">
      <w:bodyDiv w:val="1"/>
      <w:marLeft w:val="0"/>
      <w:marRight w:val="0"/>
      <w:marTop w:val="0"/>
      <w:marBottom w:val="0"/>
      <w:divBdr>
        <w:top w:val="none" w:sz="0" w:space="0" w:color="auto"/>
        <w:left w:val="none" w:sz="0" w:space="0" w:color="auto"/>
        <w:bottom w:val="none" w:sz="0" w:space="0" w:color="auto"/>
        <w:right w:val="none" w:sz="0" w:space="0" w:color="auto"/>
      </w:divBdr>
    </w:div>
    <w:div w:id="962803804">
      <w:bodyDiv w:val="1"/>
      <w:marLeft w:val="0"/>
      <w:marRight w:val="0"/>
      <w:marTop w:val="0"/>
      <w:marBottom w:val="0"/>
      <w:divBdr>
        <w:top w:val="none" w:sz="0" w:space="0" w:color="auto"/>
        <w:left w:val="none" w:sz="0" w:space="0" w:color="auto"/>
        <w:bottom w:val="none" w:sz="0" w:space="0" w:color="auto"/>
        <w:right w:val="none" w:sz="0" w:space="0" w:color="auto"/>
      </w:divBdr>
    </w:div>
    <w:div w:id="964894111">
      <w:bodyDiv w:val="1"/>
      <w:marLeft w:val="0"/>
      <w:marRight w:val="0"/>
      <w:marTop w:val="0"/>
      <w:marBottom w:val="0"/>
      <w:divBdr>
        <w:top w:val="none" w:sz="0" w:space="0" w:color="auto"/>
        <w:left w:val="none" w:sz="0" w:space="0" w:color="auto"/>
        <w:bottom w:val="none" w:sz="0" w:space="0" w:color="auto"/>
        <w:right w:val="none" w:sz="0" w:space="0" w:color="auto"/>
      </w:divBdr>
    </w:div>
    <w:div w:id="971708969">
      <w:bodyDiv w:val="1"/>
      <w:marLeft w:val="0"/>
      <w:marRight w:val="0"/>
      <w:marTop w:val="0"/>
      <w:marBottom w:val="0"/>
      <w:divBdr>
        <w:top w:val="none" w:sz="0" w:space="0" w:color="auto"/>
        <w:left w:val="none" w:sz="0" w:space="0" w:color="auto"/>
        <w:bottom w:val="none" w:sz="0" w:space="0" w:color="auto"/>
        <w:right w:val="none" w:sz="0" w:space="0" w:color="auto"/>
      </w:divBdr>
    </w:div>
    <w:div w:id="1015233524">
      <w:bodyDiv w:val="1"/>
      <w:marLeft w:val="0"/>
      <w:marRight w:val="0"/>
      <w:marTop w:val="0"/>
      <w:marBottom w:val="0"/>
      <w:divBdr>
        <w:top w:val="none" w:sz="0" w:space="0" w:color="auto"/>
        <w:left w:val="none" w:sz="0" w:space="0" w:color="auto"/>
        <w:bottom w:val="none" w:sz="0" w:space="0" w:color="auto"/>
        <w:right w:val="none" w:sz="0" w:space="0" w:color="auto"/>
      </w:divBdr>
    </w:div>
    <w:div w:id="1022165872">
      <w:bodyDiv w:val="1"/>
      <w:marLeft w:val="0"/>
      <w:marRight w:val="0"/>
      <w:marTop w:val="0"/>
      <w:marBottom w:val="0"/>
      <w:divBdr>
        <w:top w:val="none" w:sz="0" w:space="0" w:color="auto"/>
        <w:left w:val="none" w:sz="0" w:space="0" w:color="auto"/>
        <w:bottom w:val="none" w:sz="0" w:space="0" w:color="auto"/>
        <w:right w:val="none" w:sz="0" w:space="0" w:color="auto"/>
      </w:divBdr>
    </w:div>
    <w:div w:id="1036734905">
      <w:bodyDiv w:val="1"/>
      <w:marLeft w:val="0"/>
      <w:marRight w:val="0"/>
      <w:marTop w:val="0"/>
      <w:marBottom w:val="0"/>
      <w:divBdr>
        <w:top w:val="none" w:sz="0" w:space="0" w:color="auto"/>
        <w:left w:val="none" w:sz="0" w:space="0" w:color="auto"/>
        <w:bottom w:val="none" w:sz="0" w:space="0" w:color="auto"/>
        <w:right w:val="none" w:sz="0" w:space="0" w:color="auto"/>
      </w:divBdr>
    </w:div>
    <w:div w:id="1045326254">
      <w:bodyDiv w:val="1"/>
      <w:marLeft w:val="0"/>
      <w:marRight w:val="0"/>
      <w:marTop w:val="0"/>
      <w:marBottom w:val="0"/>
      <w:divBdr>
        <w:top w:val="none" w:sz="0" w:space="0" w:color="auto"/>
        <w:left w:val="none" w:sz="0" w:space="0" w:color="auto"/>
        <w:bottom w:val="none" w:sz="0" w:space="0" w:color="auto"/>
        <w:right w:val="none" w:sz="0" w:space="0" w:color="auto"/>
      </w:divBdr>
      <w:divsChild>
        <w:div w:id="1172529864">
          <w:marLeft w:val="0"/>
          <w:marRight w:val="0"/>
          <w:marTop w:val="0"/>
          <w:marBottom w:val="0"/>
          <w:divBdr>
            <w:top w:val="none" w:sz="0" w:space="0" w:color="auto"/>
            <w:left w:val="none" w:sz="0" w:space="0" w:color="auto"/>
            <w:bottom w:val="none" w:sz="0" w:space="0" w:color="auto"/>
            <w:right w:val="none" w:sz="0" w:space="0" w:color="auto"/>
          </w:divBdr>
          <w:divsChild>
            <w:div w:id="1838692931">
              <w:marLeft w:val="0"/>
              <w:marRight w:val="0"/>
              <w:marTop w:val="0"/>
              <w:marBottom w:val="0"/>
              <w:divBdr>
                <w:top w:val="none" w:sz="0" w:space="0" w:color="auto"/>
                <w:left w:val="none" w:sz="0" w:space="0" w:color="auto"/>
                <w:bottom w:val="none" w:sz="0" w:space="0" w:color="auto"/>
                <w:right w:val="none" w:sz="0" w:space="0" w:color="auto"/>
              </w:divBdr>
              <w:divsChild>
                <w:div w:id="1075591959">
                  <w:marLeft w:val="0"/>
                  <w:marRight w:val="0"/>
                  <w:marTop w:val="0"/>
                  <w:marBottom w:val="0"/>
                  <w:divBdr>
                    <w:top w:val="none" w:sz="0" w:space="0" w:color="auto"/>
                    <w:left w:val="none" w:sz="0" w:space="0" w:color="auto"/>
                    <w:bottom w:val="none" w:sz="0" w:space="0" w:color="auto"/>
                    <w:right w:val="none" w:sz="0" w:space="0" w:color="auto"/>
                  </w:divBdr>
                  <w:divsChild>
                    <w:div w:id="4582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318246">
      <w:bodyDiv w:val="1"/>
      <w:marLeft w:val="0"/>
      <w:marRight w:val="0"/>
      <w:marTop w:val="0"/>
      <w:marBottom w:val="0"/>
      <w:divBdr>
        <w:top w:val="none" w:sz="0" w:space="0" w:color="auto"/>
        <w:left w:val="none" w:sz="0" w:space="0" w:color="auto"/>
        <w:bottom w:val="none" w:sz="0" w:space="0" w:color="auto"/>
        <w:right w:val="none" w:sz="0" w:space="0" w:color="auto"/>
      </w:divBdr>
      <w:divsChild>
        <w:div w:id="1221550781">
          <w:marLeft w:val="0"/>
          <w:marRight w:val="0"/>
          <w:marTop w:val="0"/>
          <w:marBottom w:val="0"/>
          <w:divBdr>
            <w:top w:val="none" w:sz="0" w:space="0" w:color="auto"/>
            <w:left w:val="none" w:sz="0" w:space="0" w:color="auto"/>
            <w:bottom w:val="none" w:sz="0" w:space="0" w:color="auto"/>
            <w:right w:val="none" w:sz="0" w:space="0" w:color="auto"/>
          </w:divBdr>
          <w:divsChild>
            <w:div w:id="1768232029">
              <w:marLeft w:val="0"/>
              <w:marRight w:val="0"/>
              <w:marTop w:val="0"/>
              <w:marBottom w:val="0"/>
              <w:divBdr>
                <w:top w:val="none" w:sz="0" w:space="0" w:color="auto"/>
                <w:left w:val="none" w:sz="0" w:space="0" w:color="auto"/>
                <w:bottom w:val="none" w:sz="0" w:space="0" w:color="auto"/>
                <w:right w:val="none" w:sz="0" w:space="0" w:color="auto"/>
              </w:divBdr>
              <w:divsChild>
                <w:div w:id="1481846970">
                  <w:marLeft w:val="0"/>
                  <w:marRight w:val="0"/>
                  <w:marTop w:val="0"/>
                  <w:marBottom w:val="0"/>
                  <w:divBdr>
                    <w:top w:val="none" w:sz="0" w:space="0" w:color="auto"/>
                    <w:left w:val="none" w:sz="0" w:space="0" w:color="auto"/>
                    <w:bottom w:val="none" w:sz="0" w:space="0" w:color="auto"/>
                    <w:right w:val="none" w:sz="0" w:space="0" w:color="auto"/>
                  </w:divBdr>
                  <w:divsChild>
                    <w:div w:id="146997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74497">
          <w:marLeft w:val="0"/>
          <w:marRight w:val="0"/>
          <w:marTop w:val="0"/>
          <w:marBottom w:val="0"/>
          <w:divBdr>
            <w:top w:val="none" w:sz="0" w:space="0" w:color="auto"/>
            <w:left w:val="none" w:sz="0" w:space="0" w:color="auto"/>
            <w:bottom w:val="none" w:sz="0" w:space="0" w:color="auto"/>
            <w:right w:val="none" w:sz="0" w:space="0" w:color="auto"/>
          </w:divBdr>
          <w:divsChild>
            <w:div w:id="1890065591">
              <w:marLeft w:val="0"/>
              <w:marRight w:val="0"/>
              <w:marTop w:val="0"/>
              <w:marBottom w:val="0"/>
              <w:divBdr>
                <w:top w:val="none" w:sz="0" w:space="0" w:color="auto"/>
                <w:left w:val="none" w:sz="0" w:space="0" w:color="auto"/>
                <w:bottom w:val="none" w:sz="0" w:space="0" w:color="auto"/>
                <w:right w:val="none" w:sz="0" w:space="0" w:color="auto"/>
              </w:divBdr>
              <w:divsChild>
                <w:div w:id="595748774">
                  <w:marLeft w:val="0"/>
                  <w:marRight w:val="0"/>
                  <w:marTop w:val="0"/>
                  <w:marBottom w:val="0"/>
                  <w:divBdr>
                    <w:top w:val="none" w:sz="0" w:space="0" w:color="auto"/>
                    <w:left w:val="none" w:sz="0" w:space="0" w:color="auto"/>
                    <w:bottom w:val="none" w:sz="0" w:space="0" w:color="auto"/>
                    <w:right w:val="none" w:sz="0" w:space="0" w:color="auto"/>
                  </w:divBdr>
                  <w:divsChild>
                    <w:div w:id="5335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57877">
      <w:bodyDiv w:val="1"/>
      <w:marLeft w:val="0"/>
      <w:marRight w:val="0"/>
      <w:marTop w:val="0"/>
      <w:marBottom w:val="0"/>
      <w:divBdr>
        <w:top w:val="none" w:sz="0" w:space="0" w:color="auto"/>
        <w:left w:val="none" w:sz="0" w:space="0" w:color="auto"/>
        <w:bottom w:val="none" w:sz="0" w:space="0" w:color="auto"/>
        <w:right w:val="none" w:sz="0" w:space="0" w:color="auto"/>
      </w:divBdr>
    </w:div>
    <w:div w:id="1058670123">
      <w:bodyDiv w:val="1"/>
      <w:marLeft w:val="0"/>
      <w:marRight w:val="0"/>
      <w:marTop w:val="0"/>
      <w:marBottom w:val="0"/>
      <w:divBdr>
        <w:top w:val="none" w:sz="0" w:space="0" w:color="auto"/>
        <w:left w:val="none" w:sz="0" w:space="0" w:color="auto"/>
        <w:bottom w:val="none" w:sz="0" w:space="0" w:color="auto"/>
        <w:right w:val="none" w:sz="0" w:space="0" w:color="auto"/>
      </w:divBdr>
    </w:div>
    <w:div w:id="1058939300">
      <w:bodyDiv w:val="1"/>
      <w:marLeft w:val="0"/>
      <w:marRight w:val="0"/>
      <w:marTop w:val="0"/>
      <w:marBottom w:val="0"/>
      <w:divBdr>
        <w:top w:val="none" w:sz="0" w:space="0" w:color="auto"/>
        <w:left w:val="none" w:sz="0" w:space="0" w:color="auto"/>
        <w:bottom w:val="none" w:sz="0" w:space="0" w:color="auto"/>
        <w:right w:val="none" w:sz="0" w:space="0" w:color="auto"/>
      </w:divBdr>
    </w:div>
    <w:div w:id="1063405215">
      <w:bodyDiv w:val="1"/>
      <w:marLeft w:val="0"/>
      <w:marRight w:val="0"/>
      <w:marTop w:val="0"/>
      <w:marBottom w:val="0"/>
      <w:divBdr>
        <w:top w:val="none" w:sz="0" w:space="0" w:color="auto"/>
        <w:left w:val="none" w:sz="0" w:space="0" w:color="auto"/>
        <w:bottom w:val="none" w:sz="0" w:space="0" w:color="auto"/>
        <w:right w:val="none" w:sz="0" w:space="0" w:color="auto"/>
      </w:divBdr>
    </w:div>
    <w:div w:id="1072433092">
      <w:bodyDiv w:val="1"/>
      <w:marLeft w:val="0"/>
      <w:marRight w:val="0"/>
      <w:marTop w:val="0"/>
      <w:marBottom w:val="0"/>
      <w:divBdr>
        <w:top w:val="none" w:sz="0" w:space="0" w:color="auto"/>
        <w:left w:val="none" w:sz="0" w:space="0" w:color="auto"/>
        <w:bottom w:val="none" w:sz="0" w:space="0" w:color="auto"/>
        <w:right w:val="none" w:sz="0" w:space="0" w:color="auto"/>
      </w:divBdr>
      <w:divsChild>
        <w:div w:id="133914489">
          <w:marLeft w:val="0"/>
          <w:marRight w:val="0"/>
          <w:marTop w:val="100"/>
          <w:marBottom w:val="100"/>
          <w:divBdr>
            <w:top w:val="none" w:sz="0" w:space="0" w:color="auto"/>
            <w:left w:val="none" w:sz="0" w:space="0" w:color="auto"/>
            <w:bottom w:val="none" w:sz="0" w:space="0" w:color="auto"/>
            <w:right w:val="none" w:sz="0" w:space="0" w:color="auto"/>
          </w:divBdr>
          <w:divsChild>
            <w:div w:id="16970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32837">
      <w:bodyDiv w:val="1"/>
      <w:marLeft w:val="0"/>
      <w:marRight w:val="0"/>
      <w:marTop w:val="0"/>
      <w:marBottom w:val="0"/>
      <w:divBdr>
        <w:top w:val="none" w:sz="0" w:space="0" w:color="auto"/>
        <w:left w:val="none" w:sz="0" w:space="0" w:color="auto"/>
        <w:bottom w:val="none" w:sz="0" w:space="0" w:color="auto"/>
        <w:right w:val="none" w:sz="0" w:space="0" w:color="auto"/>
      </w:divBdr>
      <w:divsChild>
        <w:div w:id="52627745">
          <w:marLeft w:val="0"/>
          <w:marRight w:val="0"/>
          <w:marTop w:val="0"/>
          <w:marBottom w:val="0"/>
          <w:divBdr>
            <w:top w:val="none" w:sz="0" w:space="0" w:color="auto"/>
            <w:left w:val="none" w:sz="0" w:space="0" w:color="auto"/>
            <w:bottom w:val="none" w:sz="0" w:space="0" w:color="auto"/>
            <w:right w:val="none" w:sz="0" w:space="0" w:color="auto"/>
          </w:divBdr>
          <w:divsChild>
            <w:div w:id="6777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762545">
      <w:bodyDiv w:val="1"/>
      <w:marLeft w:val="0"/>
      <w:marRight w:val="0"/>
      <w:marTop w:val="0"/>
      <w:marBottom w:val="0"/>
      <w:divBdr>
        <w:top w:val="none" w:sz="0" w:space="0" w:color="auto"/>
        <w:left w:val="none" w:sz="0" w:space="0" w:color="auto"/>
        <w:bottom w:val="none" w:sz="0" w:space="0" w:color="auto"/>
        <w:right w:val="none" w:sz="0" w:space="0" w:color="auto"/>
      </w:divBdr>
    </w:div>
    <w:div w:id="1144347932">
      <w:bodyDiv w:val="1"/>
      <w:marLeft w:val="0"/>
      <w:marRight w:val="0"/>
      <w:marTop w:val="0"/>
      <w:marBottom w:val="0"/>
      <w:divBdr>
        <w:top w:val="none" w:sz="0" w:space="0" w:color="auto"/>
        <w:left w:val="none" w:sz="0" w:space="0" w:color="auto"/>
        <w:bottom w:val="none" w:sz="0" w:space="0" w:color="auto"/>
        <w:right w:val="none" w:sz="0" w:space="0" w:color="auto"/>
      </w:divBdr>
    </w:div>
    <w:div w:id="1146976260">
      <w:bodyDiv w:val="1"/>
      <w:marLeft w:val="0"/>
      <w:marRight w:val="0"/>
      <w:marTop w:val="0"/>
      <w:marBottom w:val="0"/>
      <w:divBdr>
        <w:top w:val="none" w:sz="0" w:space="0" w:color="auto"/>
        <w:left w:val="none" w:sz="0" w:space="0" w:color="auto"/>
        <w:bottom w:val="none" w:sz="0" w:space="0" w:color="auto"/>
        <w:right w:val="none" w:sz="0" w:space="0" w:color="auto"/>
      </w:divBdr>
    </w:div>
    <w:div w:id="1177116873">
      <w:bodyDiv w:val="1"/>
      <w:marLeft w:val="0"/>
      <w:marRight w:val="0"/>
      <w:marTop w:val="0"/>
      <w:marBottom w:val="0"/>
      <w:divBdr>
        <w:top w:val="none" w:sz="0" w:space="0" w:color="auto"/>
        <w:left w:val="none" w:sz="0" w:space="0" w:color="auto"/>
        <w:bottom w:val="none" w:sz="0" w:space="0" w:color="auto"/>
        <w:right w:val="none" w:sz="0" w:space="0" w:color="auto"/>
      </w:divBdr>
    </w:div>
    <w:div w:id="1198202592">
      <w:bodyDiv w:val="1"/>
      <w:marLeft w:val="0"/>
      <w:marRight w:val="0"/>
      <w:marTop w:val="0"/>
      <w:marBottom w:val="0"/>
      <w:divBdr>
        <w:top w:val="none" w:sz="0" w:space="0" w:color="auto"/>
        <w:left w:val="none" w:sz="0" w:space="0" w:color="auto"/>
        <w:bottom w:val="none" w:sz="0" w:space="0" w:color="auto"/>
        <w:right w:val="none" w:sz="0" w:space="0" w:color="auto"/>
      </w:divBdr>
      <w:divsChild>
        <w:div w:id="1733651012">
          <w:marLeft w:val="0"/>
          <w:marRight w:val="0"/>
          <w:marTop w:val="150"/>
          <w:marBottom w:val="150"/>
          <w:divBdr>
            <w:top w:val="none" w:sz="0" w:space="0" w:color="auto"/>
            <w:left w:val="none" w:sz="0" w:space="0" w:color="auto"/>
            <w:bottom w:val="none" w:sz="0" w:space="0" w:color="auto"/>
            <w:right w:val="none" w:sz="0" w:space="0" w:color="auto"/>
          </w:divBdr>
          <w:divsChild>
            <w:div w:id="1402217420">
              <w:marLeft w:val="0"/>
              <w:marRight w:val="0"/>
              <w:marTop w:val="0"/>
              <w:marBottom w:val="0"/>
              <w:divBdr>
                <w:top w:val="none" w:sz="0" w:space="0" w:color="auto"/>
                <w:left w:val="none" w:sz="0" w:space="0" w:color="auto"/>
                <w:bottom w:val="none" w:sz="0" w:space="0" w:color="auto"/>
                <w:right w:val="none" w:sz="0" w:space="0" w:color="auto"/>
              </w:divBdr>
              <w:divsChild>
                <w:div w:id="74993159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203401962">
      <w:bodyDiv w:val="1"/>
      <w:marLeft w:val="0"/>
      <w:marRight w:val="0"/>
      <w:marTop w:val="0"/>
      <w:marBottom w:val="0"/>
      <w:divBdr>
        <w:top w:val="none" w:sz="0" w:space="0" w:color="auto"/>
        <w:left w:val="none" w:sz="0" w:space="0" w:color="auto"/>
        <w:bottom w:val="none" w:sz="0" w:space="0" w:color="auto"/>
        <w:right w:val="none" w:sz="0" w:space="0" w:color="auto"/>
      </w:divBdr>
    </w:div>
    <w:div w:id="1223640557">
      <w:bodyDiv w:val="1"/>
      <w:marLeft w:val="0"/>
      <w:marRight w:val="0"/>
      <w:marTop w:val="0"/>
      <w:marBottom w:val="0"/>
      <w:divBdr>
        <w:top w:val="none" w:sz="0" w:space="0" w:color="auto"/>
        <w:left w:val="none" w:sz="0" w:space="0" w:color="auto"/>
        <w:bottom w:val="none" w:sz="0" w:space="0" w:color="auto"/>
        <w:right w:val="none" w:sz="0" w:space="0" w:color="auto"/>
      </w:divBdr>
    </w:div>
    <w:div w:id="1228611098">
      <w:bodyDiv w:val="1"/>
      <w:marLeft w:val="0"/>
      <w:marRight w:val="0"/>
      <w:marTop w:val="0"/>
      <w:marBottom w:val="0"/>
      <w:divBdr>
        <w:top w:val="none" w:sz="0" w:space="0" w:color="auto"/>
        <w:left w:val="none" w:sz="0" w:space="0" w:color="auto"/>
        <w:bottom w:val="none" w:sz="0" w:space="0" w:color="auto"/>
        <w:right w:val="none" w:sz="0" w:space="0" w:color="auto"/>
      </w:divBdr>
    </w:div>
    <w:div w:id="1238056319">
      <w:bodyDiv w:val="1"/>
      <w:marLeft w:val="0"/>
      <w:marRight w:val="0"/>
      <w:marTop w:val="0"/>
      <w:marBottom w:val="0"/>
      <w:divBdr>
        <w:top w:val="none" w:sz="0" w:space="0" w:color="auto"/>
        <w:left w:val="none" w:sz="0" w:space="0" w:color="auto"/>
        <w:bottom w:val="none" w:sz="0" w:space="0" w:color="auto"/>
        <w:right w:val="none" w:sz="0" w:space="0" w:color="auto"/>
      </w:divBdr>
    </w:div>
    <w:div w:id="1240600252">
      <w:bodyDiv w:val="1"/>
      <w:marLeft w:val="0"/>
      <w:marRight w:val="0"/>
      <w:marTop w:val="0"/>
      <w:marBottom w:val="0"/>
      <w:divBdr>
        <w:top w:val="none" w:sz="0" w:space="0" w:color="auto"/>
        <w:left w:val="none" w:sz="0" w:space="0" w:color="auto"/>
        <w:bottom w:val="none" w:sz="0" w:space="0" w:color="auto"/>
        <w:right w:val="none" w:sz="0" w:space="0" w:color="auto"/>
      </w:divBdr>
    </w:div>
    <w:div w:id="1243218584">
      <w:bodyDiv w:val="1"/>
      <w:marLeft w:val="0"/>
      <w:marRight w:val="0"/>
      <w:marTop w:val="0"/>
      <w:marBottom w:val="0"/>
      <w:divBdr>
        <w:top w:val="none" w:sz="0" w:space="0" w:color="auto"/>
        <w:left w:val="none" w:sz="0" w:space="0" w:color="auto"/>
        <w:bottom w:val="none" w:sz="0" w:space="0" w:color="auto"/>
        <w:right w:val="none" w:sz="0" w:space="0" w:color="auto"/>
      </w:divBdr>
    </w:div>
    <w:div w:id="1255284643">
      <w:bodyDiv w:val="1"/>
      <w:marLeft w:val="0"/>
      <w:marRight w:val="0"/>
      <w:marTop w:val="0"/>
      <w:marBottom w:val="0"/>
      <w:divBdr>
        <w:top w:val="none" w:sz="0" w:space="0" w:color="auto"/>
        <w:left w:val="none" w:sz="0" w:space="0" w:color="auto"/>
        <w:bottom w:val="none" w:sz="0" w:space="0" w:color="auto"/>
        <w:right w:val="none" w:sz="0" w:space="0" w:color="auto"/>
      </w:divBdr>
    </w:div>
    <w:div w:id="1258631833">
      <w:bodyDiv w:val="1"/>
      <w:marLeft w:val="0"/>
      <w:marRight w:val="0"/>
      <w:marTop w:val="0"/>
      <w:marBottom w:val="0"/>
      <w:divBdr>
        <w:top w:val="none" w:sz="0" w:space="0" w:color="auto"/>
        <w:left w:val="none" w:sz="0" w:space="0" w:color="auto"/>
        <w:bottom w:val="none" w:sz="0" w:space="0" w:color="auto"/>
        <w:right w:val="none" w:sz="0" w:space="0" w:color="auto"/>
      </w:divBdr>
    </w:div>
    <w:div w:id="1271743470">
      <w:bodyDiv w:val="1"/>
      <w:marLeft w:val="0"/>
      <w:marRight w:val="0"/>
      <w:marTop w:val="0"/>
      <w:marBottom w:val="0"/>
      <w:divBdr>
        <w:top w:val="none" w:sz="0" w:space="0" w:color="auto"/>
        <w:left w:val="none" w:sz="0" w:space="0" w:color="auto"/>
        <w:bottom w:val="none" w:sz="0" w:space="0" w:color="auto"/>
        <w:right w:val="none" w:sz="0" w:space="0" w:color="auto"/>
      </w:divBdr>
    </w:div>
    <w:div w:id="1330063992">
      <w:bodyDiv w:val="1"/>
      <w:marLeft w:val="0"/>
      <w:marRight w:val="0"/>
      <w:marTop w:val="0"/>
      <w:marBottom w:val="0"/>
      <w:divBdr>
        <w:top w:val="none" w:sz="0" w:space="0" w:color="auto"/>
        <w:left w:val="none" w:sz="0" w:space="0" w:color="auto"/>
        <w:bottom w:val="none" w:sz="0" w:space="0" w:color="auto"/>
        <w:right w:val="none" w:sz="0" w:space="0" w:color="auto"/>
      </w:divBdr>
    </w:div>
    <w:div w:id="1353846277">
      <w:bodyDiv w:val="1"/>
      <w:marLeft w:val="0"/>
      <w:marRight w:val="0"/>
      <w:marTop w:val="0"/>
      <w:marBottom w:val="0"/>
      <w:divBdr>
        <w:top w:val="none" w:sz="0" w:space="0" w:color="auto"/>
        <w:left w:val="none" w:sz="0" w:space="0" w:color="auto"/>
        <w:bottom w:val="none" w:sz="0" w:space="0" w:color="auto"/>
        <w:right w:val="none" w:sz="0" w:space="0" w:color="auto"/>
      </w:divBdr>
    </w:div>
    <w:div w:id="1387413091">
      <w:bodyDiv w:val="1"/>
      <w:marLeft w:val="0"/>
      <w:marRight w:val="0"/>
      <w:marTop w:val="0"/>
      <w:marBottom w:val="0"/>
      <w:divBdr>
        <w:top w:val="none" w:sz="0" w:space="0" w:color="auto"/>
        <w:left w:val="none" w:sz="0" w:space="0" w:color="auto"/>
        <w:bottom w:val="none" w:sz="0" w:space="0" w:color="auto"/>
        <w:right w:val="none" w:sz="0" w:space="0" w:color="auto"/>
      </w:divBdr>
      <w:divsChild>
        <w:div w:id="230970693">
          <w:marLeft w:val="0"/>
          <w:marRight w:val="0"/>
          <w:marTop w:val="0"/>
          <w:marBottom w:val="0"/>
          <w:divBdr>
            <w:top w:val="none" w:sz="0" w:space="0" w:color="auto"/>
            <w:left w:val="none" w:sz="0" w:space="0" w:color="auto"/>
            <w:bottom w:val="none" w:sz="0" w:space="0" w:color="auto"/>
            <w:right w:val="none" w:sz="0" w:space="0" w:color="auto"/>
          </w:divBdr>
          <w:divsChild>
            <w:div w:id="294137880">
              <w:marLeft w:val="0"/>
              <w:marRight w:val="0"/>
              <w:marTop w:val="0"/>
              <w:marBottom w:val="0"/>
              <w:divBdr>
                <w:top w:val="none" w:sz="0" w:space="0" w:color="auto"/>
                <w:left w:val="none" w:sz="0" w:space="0" w:color="auto"/>
                <w:bottom w:val="none" w:sz="0" w:space="0" w:color="auto"/>
                <w:right w:val="none" w:sz="0" w:space="0" w:color="auto"/>
              </w:divBdr>
              <w:divsChild>
                <w:div w:id="6765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74927">
      <w:bodyDiv w:val="1"/>
      <w:marLeft w:val="0"/>
      <w:marRight w:val="0"/>
      <w:marTop w:val="0"/>
      <w:marBottom w:val="0"/>
      <w:divBdr>
        <w:top w:val="none" w:sz="0" w:space="0" w:color="auto"/>
        <w:left w:val="none" w:sz="0" w:space="0" w:color="auto"/>
        <w:bottom w:val="none" w:sz="0" w:space="0" w:color="auto"/>
        <w:right w:val="none" w:sz="0" w:space="0" w:color="auto"/>
      </w:divBdr>
    </w:div>
    <w:div w:id="1399396991">
      <w:bodyDiv w:val="1"/>
      <w:marLeft w:val="0"/>
      <w:marRight w:val="0"/>
      <w:marTop w:val="0"/>
      <w:marBottom w:val="0"/>
      <w:divBdr>
        <w:top w:val="none" w:sz="0" w:space="0" w:color="auto"/>
        <w:left w:val="none" w:sz="0" w:space="0" w:color="auto"/>
        <w:bottom w:val="none" w:sz="0" w:space="0" w:color="auto"/>
        <w:right w:val="none" w:sz="0" w:space="0" w:color="auto"/>
      </w:divBdr>
    </w:div>
    <w:div w:id="1408920728">
      <w:bodyDiv w:val="1"/>
      <w:marLeft w:val="0"/>
      <w:marRight w:val="0"/>
      <w:marTop w:val="0"/>
      <w:marBottom w:val="0"/>
      <w:divBdr>
        <w:top w:val="none" w:sz="0" w:space="0" w:color="auto"/>
        <w:left w:val="none" w:sz="0" w:space="0" w:color="auto"/>
        <w:bottom w:val="none" w:sz="0" w:space="0" w:color="auto"/>
        <w:right w:val="none" w:sz="0" w:space="0" w:color="auto"/>
      </w:divBdr>
    </w:div>
    <w:div w:id="1453552451">
      <w:bodyDiv w:val="1"/>
      <w:marLeft w:val="0"/>
      <w:marRight w:val="0"/>
      <w:marTop w:val="0"/>
      <w:marBottom w:val="0"/>
      <w:divBdr>
        <w:top w:val="none" w:sz="0" w:space="0" w:color="auto"/>
        <w:left w:val="none" w:sz="0" w:space="0" w:color="auto"/>
        <w:bottom w:val="none" w:sz="0" w:space="0" w:color="auto"/>
        <w:right w:val="none" w:sz="0" w:space="0" w:color="auto"/>
      </w:divBdr>
      <w:divsChild>
        <w:div w:id="581722421">
          <w:marLeft w:val="0"/>
          <w:marRight w:val="0"/>
          <w:marTop w:val="0"/>
          <w:marBottom w:val="0"/>
          <w:divBdr>
            <w:top w:val="none" w:sz="0" w:space="0" w:color="auto"/>
            <w:left w:val="none" w:sz="0" w:space="0" w:color="auto"/>
            <w:bottom w:val="none" w:sz="0" w:space="0" w:color="auto"/>
            <w:right w:val="none" w:sz="0" w:space="0" w:color="auto"/>
          </w:divBdr>
          <w:divsChild>
            <w:div w:id="319961730">
              <w:marLeft w:val="0"/>
              <w:marRight w:val="0"/>
              <w:marTop w:val="0"/>
              <w:marBottom w:val="0"/>
              <w:divBdr>
                <w:top w:val="none" w:sz="0" w:space="0" w:color="auto"/>
                <w:left w:val="none" w:sz="0" w:space="0" w:color="auto"/>
                <w:bottom w:val="none" w:sz="0" w:space="0" w:color="auto"/>
                <w:right w:val="none" w:sz="0" w:space="0" w:color="auto"/>
              </w:divBdr>
              <w:divsChild>
                <w:div w:id="1220629640">
                  <w:marLeft w:val="0"/>
                  <w:marRight w:val="0"/>
                  <w:marTop w:val="0"/>
                  <w:marBottom w:val="0"/>
                  <w:divBdr>
                    <w:top w:val="none" w:sz="0" w:space="0" w:color="auto"/>
                    <w:left w:val="none" w:sz="0" w:space="0" w:color="auto"/>
                    <w:bottom w:val="none" w:sz="0" w:space="0" w:color="auto"/>
                    <w:right w:val="none" w:sz="0" w:space="0" w:color="auto"/>
                  </w:divBdr>
                  <w:divsChild>
                    <w:div w:id="15681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430898">
          <w:marLeft w:val="0"/>
          <w:marRight w:val="0"/>
          <w:marTop w:val="0"/>
          <w:marBottom w:val="0"/>
          <w:divBdr>
            <w:top w:val="none" w:sz="0" w:space="0" w:color="auto"/>
            <w:left w:val="none" w:sz="0" w:space="0" w:color="auto"/>
            <w:bottom w:val="none" w:sz="0" w:space="0" w:color="auto"/>
            <w:right w:val="none" w:sz="0" w:space="0" w:color="auto"/>
          </w:divBdr>
          <w:divsChild>
            <w:div w:id="1182091735">
              <w:marLeft w:val="0"/>
              <w:marRight w:val="0"/>
              <w:marTop w:val="0"/>
              <w:marBottom w:val="0"/>
              <w:divBdr>
                <w:top w:val="none" w:sz="0" w:space="0" w:color="auto"/>
                <w:left w:val="none" w:sz="0" w:space="0" w:color="auto"/>
                <w:bottom w:val="none" w:sz="0" w:space="0" w:color="auto"/>
                <w:right w:val="none" w:sz="0" w:space="0" w:color="auto"/>
              </w:divBdr>
              <w:divsChild>
                <w:div w:id="1220897915">
                  <w:marLeft w:val="0"/>
                  <w:marRight w:val="0"/>
                  <w:marTop w:val="0"/>
                  <w:marBottom w:val="0"/>
                  <w:divBdr>
                    <w:top w:val="none" w:sz="0" w:space="0" w:color="auto"/>
                    <w:left w:val="none" w:sz="0" w:space="0" w:color="auto"/>
                    <w:bottom w:val="none" w:sz="0" w:space="0" w:color="auto"/>
                    <w:right w:val="none" w:sz="0" w:space="0" w:color="auto"/>
                  </w:divBdr>
                  <w:divsChild>
                    <w:div w:id="14526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721597">
      <w:bodyDiv w:val="1"/>
      <w:marLeft w:val="0"/>
      <w:marRight w:val="0"/>
      <w:marTop w:val="0"/>
      <w:marBottom w:val="0"/>
      <w:divBdr>
        <w:top w:val="none" w:sz="0" w:space="0" w:color="auto"/>
        <w:left w:val="none" w:sz="0" w:space="0" w:color="auto"/>
        <w:bottom w:val="none" w:sz="0" w:space="0" w:color="auto"/>
        <w:right w:val="none" w:sz="0" w:space="0" w:color="auto"/>
      </w:divBdr>
    </w:div>
    <w:div w:id="1498227514">
      <w:bodyDiv w:val="1"/>
      <w:marLeft w:val="0"/>
      <w:marRight w:val="0"/>
      <w:marTop w:val="0"/>
      <w:marBottom w:val="0"/>
      <w:divBdr>
        <w:top w:val="none" w:sz="0" w:space="0" w:color="auto"/>
        <w:left w:val="none" w:sz="0" w:space="0" w:color="auto"/>
        <w:bottom w:val="none" w:sz="0" w:space="0" w:color="auto"/>
        <w:right w:val="none" w:sz="0" w:space="0" w:color="auto"/>
      </w:divBdr>
    </w:div>
    <w:div w:id="1532255449">
      <w:bodyDiv w:val="1"/>
      <w:marLeft w:val="0"/>
      <w:marRight w:val="0"/>
      <w:marTop w:val="0"/>
      <w:marBottom w:val="0"/>
      <w:divBdr>
        <w:top w:val="none" w:sz="0" w:space="0" w:color="auto"/>
        <w:left w:val="none" w:sz="0" w:space="0" w:color="auto"/>
        <w:bottom w:val="none" w:sz="0" w:space="0" w:color="auto"/>
        <w:right w:val="none" w:sz="0" w:space="0" w:color="auto"/>
      </w:divBdr>
    </w:div>
    <w:div w:id="1533884483">
      <w:bodyDiv w:val="1"/>
      <w:marLeft w:val="0"/>
      <w:marRight w:val="0"/>
      <w:marTop w:val="0"/>
      <w:marBottom w:val="0"/>
      <w:divBdr>
        <w:top w:val="none" w:sz="0" w:space="0" w:color="auto"/>
        <w:left w:val="none" w:sz="0" w:space="0" w:color="auto"/>
        <w:bottom w:val="none" w:sz="0" w:space="0" w:color="auto"/>
        <w:right w:val="none" w:sz="0" w:space="0" w:color="auto"/>
      </w:divBdr>
    </w:div>
    <w:div w:id="1554197541">
      <w:bodyDiv w:val="1"/>
      <w:marLeft w:val="0"/>
      <w:marRight w:val="0"/>
      <w:marTop w:val="0"/>
      <w:marBottom w:val="0"/>
      <w:divBdr>
        <w:top w:val="none" w:sz="0" w:space="0" w:color="auto"/>
        <w:left w:val="none" w:sz="0" w:space="0" w:color="auto"/>
        <w:bottom w:val="none" w:sz="0" w:space="0" w:color="auto"/>
        <w:right w:val="none" w:sz="0" w:space="0" w:color="auto"/>
      </w:divBdr>
    </w:div>
    <w:div w:id="1576473841">
      <w:bodyDiv w:val="1"/>
      <w:marLeft w:val="0"/>
      <w:marRight w:val="0"/>
      <w:marTop w:val="0"/>
      <w:marBottom w:val="0"/>
      <w:divBdr>
        <w:top w:val="none" w:sz="0" w:space="0" w:color="auto"/>
        <w:left w:val="none" w:sz="0" w:space="0" w:color="auto"/>
        <w:bottom w:val="none" w:sz="0" w:space="0" w:color="auto"/>
        <w:right w:val="none" w:sz="0" w:space="0" w:color="auto"/>
      </w:divBdr>
    </w:div>
    <w:div w:id="1626619268">
      <w:bodyDiv w:val="1"/>
      <w:marLeft w:val="0"/>
      <w:marRight w:val="0"/>
      <w:marTop w:val="0"/>
      <w:marBottom w:val="0"/>
      <w:divBdr>
        <w:top w:val="none" w:sz="0" w:space="0" w:color="auto"/>
        <w:left w:val="none" w:sz="0" w:space="0" w:color="auto"/>
        <w:bottom w:val="none" w:sz="0" w:space="0" w:color="auto"/>
        <w:right w:val="none" w:sz="0" w:space="0" w:color="auto"/>
      </w:divBdr>
    </w:div>
    <w:div w:id="1629890448">
      <w:bodyDiv w:val="1"/>
      <w:marLeft w:val="0"/>
      <w:marRight w:val="0"/>
      <w:marTop w:val="0"/>
      <w:marBottom w:val="0"/>
      <w:divBdr>
        <w:top w:val="none" w:sz="0" w:space="0" w:color="auto"/>
        <w:left w:val="none" w:sz="0" w:space="0" w:color="auto"/>
        <w:bottom w:val="none" w:sz="0" w:space="0" w:color="auto"/>
        <w:right w:val="none" w:sz="0" w:space="0" w:color="auto"/>
      </w:divBdr>
    </w:div>
    <w:div w:id="1652371554">
      <w:bodyDiv w:val="1"/>
      <w:marLeft w:val="0"/>
      <w:marRight w:val="0"/>
      <w:marTop w:val="0"/>
      <w:marBottom w:val="0"/>
      <w:divBdr>
        <w:top w:val="none" w:sz="0" w:space="0" w:color="auto"/>
        <w:left w:val="none" w:sz="0" w:space="0" w:color="auto"/>
        <w:bottom w:val="none" w:sz="0" w:space="0" w:color="auto"/>
        <w:right w:val="none" w:sz="0" w:space="0" w:color="auto"/>
      </w:divBdr>
    </w:div>
    <w:div w:id="1690256084">
      <w:bodyDiv w:val="1"/>
      <w:marLeft w:val="0"/>
      <w:marRight w:val="0"/>
      <w:marTop w:val="0"/>
      <w:marBottom w:val="0"/>
      <w:divBdr>
        <w:top w:val="none" w:sz="0" w:space="0" w:color="auto"/>
        <w:left w:val="none" w:sz="0" w:space="0" w:color="auto"/>
        <w:bottom w:val="none" w:sz="0" w:space="0" w:color="auto"/>
        <w:right w:val="none" w:sz="0" w:space="0" w:color="auto"/>
      </w:divBdr>
    </w:div>
    <w:div w:id="1705595431">
      <w:bodyDiv w:val="1"/>
      <w:marLeft w:val="0"/>
      <w:marRight w:val="0"/>
      <w:marTop w:val="0"/>
      <w:marBottom w:val="0"/>
      <w:divBdr>
        <w:top w:val="none" w:sz="0" w:space="0" w:color="auto"/>
        <w:left w:val="none" w:sz="0" w:space="0" w:color="auto"/>
        <w:bottom w:val="none" w:sz="0" w:space="0" w:color="auto"/>
        <w:right w:val="none" w:sz="0" w:space="0" w:color="auto"/>
      </w:divBdr>
    </w:div>
    <w:div w:id="1710956991">
      <w:bodyDiv w:val="1"/>
      <w:marLeft w:val="0"/>
      <w:marRight w:val="0"/>
      <w:marTop w:val="0"/>
      <w:marBottom w:val="0"/>
      <w:divBdr>
        <w:top w:val="none" w:sz="0" w:space="0" w:color="auto"/>
        <w:left w:val="none" w:sz="0" w:space="0" w:color="auto"/>
        <w:bottom w:val="none" w:sz="0" w:space="0" w:color="auto"/>
        <w:right w:val="none" w:sz="0" w:space="0" w:color="auto"/>
      </w:divBdr>
    </w:div>
    <w:div w:id="1745031667">
      <w:bodyDiv w:val="1"/>
      <w:marLeft w:val="0"/>
      <w:marRight w:val="0"/>
      <w:marTop w:val="0"/>
      <w:marBottom w:val="0"/>
      <w:divBdr>
        <w:top w:val="none" w:sz="0" w:space="0" w:color="auto"/>
        <w:left w:val="none" w:sz="0" w:space="0" w:color="auto"/>
        <w:bottom w:val="none" w:sz="0" w:space="0" w:color="auto"/>
        <w:right w:val="none" w:sz="0" w:space="0" w:color="auto"/>
      </w:divBdr>
    </w:div>
    <w:div w:id="1813793449">
      <w:bodyDiv w:val="1"/>
      <w:marLeft w:val="0"/>
      <w:marRight w:val="0"/>
      <w:marTop w:val="0"/>
      <w:marBottom w:val="0"/>
      <w:divBdr>
        <w:top w:val="none" w:sz="0" w:space="0" w:color="auto"/>
        <w:left w:val="none" w:sz="0" w:space="0" w:color="auto"/>
        <w:bottom w:val="none" w:sz="0" w:space="0" w:color="auto"/>
        <w:right w:val="none" w:sz="0" w:space="0" w:color="auto"/>
      </w:divBdr>
    </w:div>
    <w:div w:id="1861043339">
      <w:bodyDiv w:val="1"/>
      <w:marLeft w:val="0"/>
      <w:marRight w:val="0"/>
      <w:marTop w:val="0"/>
      <w:marBottom w:val="0"/>
      <w:divBdr>
        <w:top w:val="none" w:sz="0" w:space="0" w:color="auto"/>
        <w:left w:val="none" w:sz="0" w:space="0" w:color="auto"/>
        <w:bottom w:val="none" w:sz="0" w:space="0" w:color="auto"/>
        <w:right w:val="none" w:sz="0" w:space="0" w:color="auto"/>
      </w:divBdr>
    </w:div>
    <w:div w:id="1870798065">
      <w:bodyDiv w:val="1"/>
      <w:marLeft w:val="0"/>
      <w:marRight w:val="0"/>
      <w:marTop w:val="0"/>
      <w:marBottom w:val="0"/>
      <w:divBdr>
        <w:top w:val="none" w:sz="0" w:space="0" w:color="auto"/>
        <w:left w:val="none" w:sz="0" w:space="0" w:color="auto"/>
        <w:bottom w:val="none" w:sz="0" w:space="0" w:color="auto"/>
        <w:right w:val="none" w:sz="0" w:space="0" w:color="auto"/>
      </w:divBdr>
    </w:div>
    <w:div w:id="1872643486">
      <w:bodyDiv w:val="1"/>
      <w:marLeft w:val="0"/>
      <w:marRight w:val="0"/>
      <w:marTop w:val="0"/>
      <w:marBottom w:val="0"/>
      <w:divBdr>
        <w:top w:val="none" w:sz="0" w:space="0" w:color="auto"/>
        <w:left w:val="none" w:sz="0" w:space="0" w:color="auto"/>
        <w:bottom w:val="none" w:sz="0" w:space="0" w:color="auto"/>
        <w:right w:val="none" w:sz="0" w:space="0" w:color="auto"/>
      </w:divBdr>
    </w:div>
    <w:div w:id="1874689185">
      <w:bodyDiv w:val="1"/>
      <w:marLeft w:val="0"/>
      <w:marRight w:val="0"/>
      <w:marTop w:val="0"/>
      <w:marBottom w:val="0"/>
      <w:divBdr>
        <w:top w:val="none" w:sz="0" w:space="0" w:color="auto"/>
        <w:left w:val="none" w:sz="0" w:space="0" w:color="auto"/>
        <w:bottom w:val="none" w:sz="0" w:space="0" w:color="auto"/>
        <w:right w:val="none" w:sz="0" w:space="0" w:color="auto"/>
      </w:divBdr>
    </w:div>
    <w:div w:id="1903254627">
      <w:bodyDiv w:val="1"/>
      <w:marLeft w:val="0"/>
      <w:marRight w:val="0"/>
      <w:marTop w:val="0"/>
      <w:marBottom w:val="0"/>
      <w:divBdr>
        <w:top w:val="none" w:sz="0" w:space="0" w:color="auto"/>
        <w:left w:val="none" w:sz="0" w:space="0" w:color="auto"/>
        <w:bottom w:val="none" w:sz="0" w:space="0" w:color="auto"/>
        <w:right w:val="none" w:sz="0" w:space="0" w:color="auto"/>
      </w:divBdr>
      <w:divsChild>
        <w:div w:id="1189880360">
          <w:marLeft w:val="0"/>
          <w:marRight w:val="0"/>
          <w:marTop w:val="100"/>
          <w:marBottom w:val="100"/>
          <w:divBdr>
            <w:top w:val="none" w:sz="0" w:space="0" w:color="auto"/>
            <w:left w:val="none" w:sz="0" w:space="0" w:color="auto"/>
            <w:bottom w:val="none" w:sz="0" w:space="0" w:color="auto"/>
            <w:right w:val="none" w:sz="0" w:space="0" w:color="auto"/>
          </w:divBdr>
          <w:divsChild>
            <w:div w:id="95664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04588">
      <w:bodyDiv w:val="1"/>
      <w:marLeft w:val="0"/>
      <w:marRight w:val="0"/>
      <w:marTop w:val="0"/>
      <w:marBottom w:val="0"/>
      <w:divBdr>
        <w:top w:val="none" w:sz="0" w:space="0" w:color="auto"/>
        <w:left w:val="none" w:sz="0" w:space="0" w:color="auto"/>
        <w:bottom w:val="none" w:sz="0" w:space="0" w:color="auto"/>
        <w:right w:val="none" w:sz="0" w:space="0" w:color="auto"/>
      </w:divBdr>
    </w:div>
    <w:div w:id="1920096707">
      <w:bodyDiv w:val="1"/>
      <w:marLeft w:val="0"/>
      <w:marRight w:val="0"/>
      <w:marTop w:val="0"/>
      <w:marBottom w:val="0"/>
      <w:divBdr>
        <w:top w:val="none" w:sz="0" w:space="0" w:color="auto"/>
        <w:left w:val="none" w:sz="0" w:space="0" w:color="auto"/>
        <w:bottom w:val="none" w:sz="0" w:space="0" w:color="auto"/>
        <w:right w:val="none" w:sz="0" w:space="0" w:color="auto"/>
      </w:divBdr>
    </w:div>
    <w:div w:id="1943999534">
      <w:bodyDiv w:val="1"/>
      <w:marLeft w:val="0"/>
      <w:marRight w:val="0"/>
      <w:marTop w:val="0"/>
      <w:marBottom w:val="0"/>
      <w:divBdr>
        <w:top w:val="none" w:sz="0" w:space="0" w:color="auto"/>
        <w:left w:val="none" w:sz="0" w:space="0" w:color="auto"/>
        <w:bottom w:val="none" w:sz="0" w:space="0" w:color="auto"/>
        <w:right w:val="none" w:sz="0" w:space="0" w:color="auto"/>
      </w:divBdr>
    </w:div>
    <w:div w:id="1957786242">
      <w:bodyDiv w:val="1"/>
      <w:marLeft w:val="0"/>
      <w:marRight w:val="0"/>
      <w:marTop w:val="0"/>
      <w:marBottom w:val="0"/>
      <w:divBdr>
        <w:top w:val="none" w:sz="0" w:space="0" w:color="auto"/>
        <w:left w:val="none" w:sz="0" w:space="0" w:color="auto"/>
        <w:bottom w:val="none" w:sz="0" w:space="0" w:color="auto"/>
        <w:right w:val="none" w:sz="0" w:space="0" w:color="auto"/>
      </w:divBdr>
    </w:div>
    <w:div w:id="1975018622">
      <w:bodyDiv w:val="1"/>
      <w:marLeft w:val="0"/>
      <w:marRight w:val="0"/>
      <w:marTop w:val="0"/>
      <w:marBottom w:val="0"/>
      <w:divBdr>
        <w:top w:val="none" w:sz="0" w:space="0" w:color="auto"/>
        <w:left w:val="none" w:sz="0" w:space="0" w:color="auto"/>
        <w:bottom w:val="none" w:sz="0" w:space="0" w:color="auto"/>
        <w:right w:val="none" w:sz="0" w:space="0" w:color="auto"/>
      </w:divBdr>
    </w:div>
    <w:div w:id="2004236097">
      <w:bodyDiv w:val="1"/>
      <w:marLeft w:val="0"/>
      <w:marRight w:val="0"/>
      <w:marTop w:val="0"/>
      <w:marBottom w:val="0"/>
      <w:divBdr>
        <w:top w:val="none" w:sz="0" w:space="0" w:color="auto"/>
        <w:left w:val="none" w:sz="0" w:space="0" w:color="auto"/>
        <w:bottom w:val="none" w:sz="0" w:space="0" w:color="auto"/>
        <w:right w:val="none" w:sz="0" w:space="0" w:color="auto"/>
      </w:divBdr>
    </w:div>
    <w:div w:id="2038963396">
      <w:bodyDiv w:val="1"/>
      <w:marLeft w:val="0"/>
      <w:marRight w:val="0"/>
      <w:marTop w:val="0"/>
      <w:marBottom w:val="0"/>
      <w:divBdr>
        <w:top w:val="none" w:sz="0" w:space="0" w:color="auto"/>
        <w:left w:val="none" w:sz="0" w:space="0" w:color="auto"/>
        <w:bottom w:val="none" w:sz="0" w:space="0" w:color="auto"/>
        <w:right w:val="none" w:sz="0" w:space="0" w:color="auto"/>
      </w:divBdr>
    </w:div>
    <w:div w:id="209716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tarazi@unilim.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fa-2010.com/papers/diversificationperformancerisk_feb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facebook.com/kfasinfo/videos/942208649656452/?refsrc=deprecated&amp;_rdr"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unilim.fr/lape/staff/full-time/Amine-Tarazi" TargetMode="External"/><Relationship Id="rId14" Type="http://schemas.openxmlformats.org/officeDocument/2006/relationships/hyperlink" Target="http://cba.upd.edu.ph/asialin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E6112-F4F2-EB4B-B679-4931AA675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41</Pages>
  <Words>18345</Words>
  <Characters>100898</Characters>
  <Application>Microsoft Office Word</Application>
  <DocSecurity>0</DocSecurity>
  <Lines>840</Lines>
  <Paragraphs>238</Paragraphs>
  <ScaleCrop>false</ScaleCrop>
  <HeadingPairs>
    <vt:vector size="2" baseType="variant">
      <vt:variant>
        <vt:lpstr>Titre</vt:lpstr>
      </vt:variant>
      <vt:variant>
        <vt:i4>1</vt:i4>
      </vt:variant>
    </vt:vector>
  </HeadingPairs>
  <TitlesOfParts>
    <vt:vector size="1" baseType="lpstr">
      <vt:lpstr>cvamine95</vt:lpstr>
    </vt:vector>
  </TitlesOfParts>
  <Company>faculté de droit et sc. eco.</Company>
  <LinksUpToDate>false</LinksUpToDate>
  <CharactersWithSpaces>119005</CharactersWithSpaces>
  <SharedDoc>false</SharedDoc>
  <HLinks>
    <vt:vector size="12" baseType="variant">
      <vt:variant>
        <vt:i4>6160394</vt:i4>
      </vt:variant>
      <vt:variant>
        <vt:i4>3</vt:i4>
      </vt:variant>
      <vt:variant>
        <vt:i4>0</vt:i4>
      </vt:variant>
      <vt:variant>
        <vt:i4>5</vt:i4>
      </vt:variant>
      <vt:variant>
        <vt:lpwstr>http://asialink.philippines.googlepages.com/</vt:lpwstr>
      </vt:variant>
      <vt:variant>
        <vt:lpwstr/>
      </vt:variant>
      <vt:variant>
        <vt:i4>6029422</vt:i4>
      </vt:variant>
      <vt:variant>
        <vt:i4>0</vt:i4>
      </vt:variant>
      <vt:variant>
        <vt:i4>0</vt:i4>
      </vt:variant>
      <vt:variant>
        <vt:i4>5</vt:i4>
      </vt:variant>
      <vt:variant>
        <vt:lpwstr>http://www.mfa-2010.com/papers/diversificationperformancerisk_feb9.pdf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cvamine95</dc:title>
  <dc:creator>Sciences Economiques</dc:creator>
  <cp:lastModifiedBy>Microsoft Office User</cp:lastModifiedBy>
  <cp:revision>3</cp:revision>
  <cp:lastPrinted>2025-07-23T15:56:00Z</cp:lastPrinted>
  <dcterms:created xsi:type="dcterms:W3CDTF">2026-08-20T09:22:00Z</dcterms:created>
  <dcterms:modified xsi:type="dcterms:W3CDTF">2026-08-20T09:41:00Z</dcterms:modified>
</cp:coreProperties>
</file>